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0A2540"/>
          <w:sz w:val="44"/>
        </w:rPr>
        <w:t>Client Vetting Checklist for Freelancers</w:t>
      </w:r>
    </w:p>
    <w:p>
      <w:pPr>
        <w:spacing w:after="120"/>
        <w:jc w:val="center"/>
      </w:pPr>
      <w:r>
        <w:rPr>
          <w:b/>
          <w:color w:val="0E7C7C"/>
          <w:sz w:val="26"/>
        </w:rPr>
        <w:t>Check a new client BEFORE you say yes — not after you start.</w:t>
      </w:r>
    </w:p>
    <w:p>
      <w:pPr>
        <w:spacing w:after="200"/>
      </w:pPr>
      <w:r>
        <w:rPr>
          <w:b w:val="0"/>
          <w:sz w:val="22"/>
        </w:rPr>
        <w:t>Client name: ______________________    Date: ______________    Project (one line): ______________________</w:t>
      </w:r>
    </w:p>
    <w:p>
      <w:pPr>
        <w:spacing w:after="120"/>
      </w:pPr>
      <w:r>
        <w:rPr>
          <w:b/>
          <w:color w:val="0A2540"/>
          <w:sz w:val="22"/>
        </w:rPr>
        <w:t>HOW TO USE THIS CHECKLIST (5 MINUTES)</w:t>
      </w:r>
    </w:p>
    <w:p>
      <w:pPr>
        <w:pStyle w:val="ListBullet"/>
      </w:pPr>
      <w:r>
        <w:t>Work through the 20 checks in Part 1 before you accept, quote a final price, or start any unpaid work.</w:t>
      </w:r>
    </w:p>
    <w:p>
      <w:pPr>
        <w:pStyle w:val="ListBullet"/>
      </w:pPr>
      <w:r>
        <w:t>Score each check honestly: Yes = 2, Unsure = 1, No = 0. Write the score in the Score column and add up your total.</w:t>
      </w:r>
    </w:p>
    <w:p>
      <w:pPr>
        <w:pStyle w:val="ListBullet"/>
      </w:pPr>
      <w:r>
        <w:t>Then read your band in the scoring guide. A good total never overrides a hard-stop red flag — see the hard-stop rule below.</w:t>
      </w:r>
    </w:p>
    <w:p>
      <w:pPr>
        <w:pStyle w:val="ListBullet"/>
      </w:pPr>
      <w:r>
        <w:t>Keep the completed sheet with the project file. If a dispute ever arises, your dated notes are your evidence.</w:t>
      </w:r>
    </w:p>
    <w:p>
      <w:pPr>
        <w:pStyle w:val="ListBullet"/>
      </w:pPr>
      <w:r>
        <w:t>This checklist is a judgement aid, not a guarantee. A client can pass every check and still be difficult; trust the evidence, and trust your instincts too.</w:t>
      </w:r>
    </w:p>
    <w:p>
      <w:pPr>
        <w:spacing w:after="120"/>
      </w:pPr>
      <w:r>
        <w:rPr>
          <w:b/>
          <w:color w:val="8A1A1A"/>
          <w:sz w:val="22"/>
        </w:rPr>
        <w:t>HARD-STOP RULE: a “No” on check 13 (will not sign anything in writing) or check 14 (will not pay any deposit) caps you at AMBER at best, no matter how high the total. A “No” on check 17 (wants full work free as a “test”) or check 18 (asks for your passwords, logins or bank access) is an automatic RED — decline or offer a paid test only.</w:t>
      </w:r>
    </w:p>
    <w:p>
      <w:pPr>
        <w:pStyle w:val="Heading1"/>
      </w:pPr>
      <w:r>
        <w:rPr>
          <w:color w:val="0A2540"/>
        </w:rPr>
        <w:t>Part 1 — Vetting score sheet (20 checks)</w:t>
      </w:r>
    </w:p>
    <w:p>
      <w:pPr>
        <w:spacing w:after="120"/>
      </w:pPr>
      <w:r>
        <w:rPr>
          <w:b w:val="0"/>
          <w:color w:val="5A6B78"/>
          <w:sz w:val="20"/>
        </w:rPr>
        <w:t>Tick one box per row: Yes (2) / Unsure (1) / No (0). Add a short note — a link, a screenshot reference, or what the client actually said — so you can prove it later.</w:t>
      </w:r>
    </w:p>
    <w:tbl>
      <w:tblPr>
        <w:tblStyle w:val="TableGrid"/>
        <w:tblW w:type="auto" w:w="0"/>
        <w:jc w:val="center"/>
        <w:tblLook w:firstColumn="1" w:firstRow="1" w:lastColumn="0" w:lastRow="0" w:noHBand="0" w:noVBand="1" w:val="04A0"/>
      </w:tblPr>
      <w:tblGrid>
        <w:gridCol w:w="4608"/>
        <w:gridCol w:w="2304"/>
        <w:gridCol w:w="1008"/>
        <w:gridCol w:w="2160"/>
      </w:tblGrid>
      <w:tr>
        <w:tc>
          <w:tcPr>
            <w:tcW w:type="dxa" w:w="2484"/>
            <w:shd w:val="clear" w:color="auto" w:fill="0A2540"/>
          </w:tcPr>
          <w:p>
            <w:r>
              <w:rPr>
                <w:b/>
                <w:color w:val="FFFFFF"/>
                <w:sz w:val="20"/>
              </w:rPr>
              <w:t>Check</w:t>
            </w:r>
          </w:p>
        </w:tc>
        <w:tc>
          <w:tcPr>
            <w:tcW w:type="dxa" w:w="2484"/>
            <w:shd w:val="clear" w:color="auto" w:fill="0A2540"/>
          </w:tcPr>
          <w:p>
            <w:r>
              <w:rPr>
                <w:b/>
                <w:color w:val="FFFFFF"/>
                <w:sz w:val="20"/>
              </w:rPr>
              <w:t>Yes (2) / Unsure (1) / No (0) — tick one</w:t>
            </w:r>
          </w:p>
        </w:tc>
        <w:tc>
          <w:tcPr>
            <w:tcW w:type="dxa" w:w="2484"/>
            <w:shd w:val="clear" w:color="auto" w:fill="0A2540"/>
          </w:tcPr>
          <w:p>
            <w:r>
              <w:rPr>
                <w:b/>
                <w:color w:val="FFFFFF"/>
                <w:sz w:val="20"/>
              </w:rPr>
              <w:t>Score</w:t>
            </w:r>
          </w:p>
        </w:tc>
        <w:tc>
          <w:tcPr>
            <w:tcW w:type="dxa" w:w="2484"/>
            <w:shd w:val="clear" w:color="auto" w:fill="0A2540"/>
          </w:tcPr>
          <w:p>
            <w:r>
              <w:rPr>
                <w:b/>
                <w:color w:val="FFFFFF"/>
                <w:sz w:val="20"/>
              </w:rPr>
              <w:t>Evidence / note</w:t>
            </w:r>
          </w:p>
        </w:tc>
      </w:tr>
      <w:tr>
        <w:tc>
          <w:tcPr>
            <w:tcW w:type="dxa" w:w="9936"/>
            <w:gridSpan w:val="4"/>
            <w:shd w:val="clear" w:color="auto" w:fill="E6F4F4"/>
          </w:tcPr>
          <w:p>
            <w:r>
              <w:rPr>
                <w:b/>
                <w:color w:val="0A2540"/>
              </w:rPr>
              <w:t>A. Verifiable business — is this client real?</w:t>
            </w:r>
          </w:p>
        </w:tc>
      </w:tr>
      <w:tr>
        <w:tc>
          <w:tcPr>
            <w:tcW w:type="dxa" w:w="2484"/>
          </w:tcPr>
          <w:p>
            <w:r>
              <w:rPr>
                <w:sz w:val="20"/>
              </w:rPr>
              <w:t>1. Real business identity: a business name plus a website, company page or established social presence you could actually find.</w:t>
            </w:r>
          </w:p>
        </w:tc>
        <w:tc>
          <w:tcPr>
            <w:tcW w:type="dxa" w:w="2484"/>
          </w:tcPr>
          <w:p>
            <w:r>
              <w:rPr>
                <w:sz w:val="20"/>
              </w:rPr>
              <w:t>☐ 2     ☐ 1     ☐ 0</w:t>
            </w:r>
          </w:p>
        </w:tc>
        <w:tc>
          <w:tcPr>
            <w:tcW w:type="dxa" w:w="2484"/>
          </w:tcPr>
          <w:p>
            <w:r>
              <w:rPr>
                <w:sz w:val="20"/>
              </w:rPr>
            </w:r>
          </w:p>
        </w:tc>
        <w:tc>
          <w:tcPr>
            <w:tcW w:type="dxa" w:w="2484"/>
          </w:tcPr>
          <w:p>
            <w:r>
              <w:rPr>
                <w:sz w:val="20"/>
              </w:rPr>
            </w:r>
          </w:p>
        </w:tc>
      </w:tr>
      <w:tr>
        <w:tc>
          <w:tcPr>
            <w:tcW w:type="dxa" w:w="2484"/>
          </w:tcPr>
          <w:p>
            <w:r>
              <w:rPr>
                <w:sz w:val="20"/>
              </w:rPr>
              <w:t>2. Real contact person: the person messaging you is named on that business page, LinkedIn profile or company site — not just a first name on a chat app.</w:t>
            </w:r>
          </w:p>
        </w:tc>
        <w:tc>
          <w:tcPr>
            <w:tcW w:type="dxa" w:w="2484"/>
          </w:tcPr>
          <w:p>
            <w:r>
              <w:rPr>
                <w:sz w:val="20"/>
              </w:rPr>
              <w:t>☐ 2     ☐ 1     ☐ 0</w:t>
            </w:r>
          </w:p>
        </w:tc>
        <w:tc>
          <w:tcPr>
            <w:tcW w:type="dxa" w:w="2484"/>
          </w:tcPr>
          <w:p>
            <w:r>
              <w:rPr>
                <w:sz w:val="20"/>
              </w:rPr>
            </w:r>
          </w:p>
        </w:tc>
        <w:tc>
          <w:tcPr>
            <w:tcW w:type="dxa" w:w="2484"/>
          </w:tcPr>
          <w:p>
            <w:r>
              <w:rPr>
                <w:sz w:val="20"/>
              </w:rPr>
            </w:r>
          </w:p>
        </w:tc>
      </w:tr>
      <w:tr>
        <w:tc>
          <w:tcPr>
            <w:tcW w:type="dxa" w:w="2484"/>
          </w:tcPr>
          <w:p>
            <w:r>
              <w:rPr>
                <w:sz w:val="20"/>
              </w:rPr>
              <w:t>3. Domain / email match: the email domain matches the business (for example, name@company.com), or a mismatch has a believable, checkable explanation.</w:t>
            </w:r>
          </w:p>
        </w:tc>
        <w:tc>
          <w:tcPr>
            <w:tcW w:type="dxa" w:w="2484"/>
          </w:tcPr>
          <w:p>
            <w:r>
              <w:rPr>
                <w:sz w:val="20"/>
              </w:rPr>
              <w:t>☐ 2     ☐ 1     ☐ 0</w:t>
            </w:r>
          </w:p>
        </w:tc>
        <w:tc>
          <w:tcPr>
            <w:tcW w:type="dxa" w:w="2484"/>
          </w:tcPr>
          <w:p>
            <w:r>
              <w:rPr>
                <w:sz w:val="20"/>
              </w:rPr>
            </w:r>
          </w:p>
        </w:tc>
        <w:tc>
          <w:tcPr>
            <w:tcW w:type="dxa" w:w="2484"/>
          </w:tcPr>
          <w:p>
            <w:r>
              <w:rPr>
                <w:sz w:val="20"/>
              </w:rPr>
            </w:r>
          </w:p>
        </w:tc>
      </w:tr>
      <w:tr>
        <w:tc>
          <w:tcPr>
            <w:tcW w:type="dxa" w:w="2484"/>
          </w:tcPr>
          <w:p>
            <w:r>
              <w:rPr>
                <w:sz w:val="20"/>
              </w:rPr>
              <w:t>4. Checkable track record: past freelancer reviews, testimonials, references or previous work you could verify — not only screenshots the client sent you.</w:t>
            </w:r>
          </w:p>
        </w:tc>
        <w:tc>
          <w:tcPr>
            <w:tcW w:type="dxa" w:w="2484"/>
          </w:tcPr>
          <w:p>
            <w:r>
              <w:rPr>
                <w:sz w:val="20"/>
              </w:rPr>
              <w:t>☐ 2     ☐ 1     ☐ 0</w:t>
            </w:r>
          </w:p>
        </w:tc>
        <w:tc>
          <w:tcPr>
            <w:tcW w:type="dxa" w:w="2484"/>
          </w:tcPr>
          <w:p>
            <w:r>
              <w:rPr>
                <w:sz w:val="20"/>
              </w:rPr>
            </w:r>
          </w:p>
        </w:tc>
        <w:tc>
          <w:tcPr>
            <w:tcW w:type="dxa" w:w="2484"/>
          </w:tcPr>
          <w:p>
            <w:r>
              <w:rPr>
                <w:sz w:val="20"/>
              </w:rPr>
            </w:r>
          </w:p>
        </w:tc>
      </w:tr>
      <w:tr>
        <w:tc>
          <w:tcPr>
            <w:tcW w:type="dxa" w:w="9936"/>
            <w:gridSpan w:val="4"/>
            <w:shd w:val="clear" w:color="auto" w:fill="E6F4F4"/>
          </w:tcPr>
          <w:p>
            <w:r>
              <w:rPr>
                <w:b/>
                <w:color w:val="0A2540"/>
              </w:rPr>
              <w:t>B. Communication — how do they work with you?</w:t>
            </w:r>
          </w:p>
        </w:tc>
      </w:tr>
      <w:tr>
        <w:tc>
          <w:tcPr>
            <w:tcW w:type="dxa" w:w="2484"/>
          </w:tcPr>
          <w:p>
            <w:r>
              <w:rPr>
                <w:sz w:val="20"/>
              </w:rPr>
              <w:t>5. Replies in reasonable time, in a professional tone — no disappearing for days, then demanding instant replies from you.</w:t>
            </w:r>
          </w:p>
        </w:tc>
        <w:tc>
          <w:tcPr>
            <w:tcW w:type="dxa" w:w="2484"/>
          </w:tcPr>
          <w:p>
            <w:r>
              <w:rPr>
                <w:sz w:val="20"/>
              </w:rPr>
              <w:t>☐ 2     ☐ 1     ☐ 0</w:t>
            </w:r>
          </w:p>
        </w:tc>
        <w:tc>
          <w:tcPr>
            <w:tcW w:type="dxa" w:w="2484"/>
          </w:tcPr>
          <w:p>
            <w:r>
              <w:rPr>
                <w:sz w:val="20"/>
              </w:rPr>
            </w:r>
          </w:p>
        </w:tc>
        <w:tc>
          <w:tcPr>
            <w:tcW w:type="dxa" w:w="2484"/>
          </w:tcPr>
          <w:p>
            <w:r>
              <w:rPr>
                <w:sz w:val="20"/>
              </w:rPr>
            </w:r>
          </w:p>
        </w:tc>
      </w:tr>
      <w:tr>
        <w:tc>
          <w:tcPr>
            <w:tcW w:type="dxa" w:w="2484"/>
          </w:tcPr>
          <w:p>
            <w:r>
              <w:rPr>
                <w:sz w:val="20"/>
              </w:rPr>
              <w:t>6. One clear point of contact who can actually approve work, not a chain of unnamed “team members”.</w:t>
            </w:r>
          </w:p>
        </w:tc>
        <w:tc>
          <w:tcPr>
            <w:tcW w:type="dxa" w:w="2484"/>
          </w:tcPr>
          <w:p>
            <w:r>
              <w:rPr>
                <w:sz w:val="20"/>
              </w:rPr>
              <w:t>☐ 2     ☐ 1     ☐ 0</w:t>
            </w:r>
          </w:p>
        </w:tc>
        <w:tc>
          <w:tcPr>
            <w:tcW w:type="dxa" w:w="2484"/>
          </w:tcPr>
          <w:p>
            <w:r>
              <w:rPr>
                <w:sz w:val="20"/>
              </w:rPr>
            </w:r>
          </w:p>
        </w:tc>
        <w:tc>
          <w:tcPr>
            <w:tcW w:type="dxa" w:w="2484"/>
          </w:tcPr>
          <w:p>
            <w:r>
              <w:rPr>
                <w:sz w:val="20"/>
              </w:rPr>
            </w:r>
          </w:p>
        </w:tc>
      </w:tr>
      <w:tr>
        <w:tc>
          <w:tcPr>
            <w:tcW w:type="dxa" w:w="2484"/>
          </w:tcPr>
          <w:p>
            <w:r>
              <w:rPr>
                <w:sz w:val="20"/>
              </w:rPr>
              <w:t>7. Scope discussed in writing (messages or email), not only in voice notes or calls that leave no record.</w:t>
            </w:r>
          </w:p>
        </w:tc>
        <w:tc>
          <w:tcPr>
            <w:tcW w:type="dxa" w:w="2484"/>
          </w:tcPr>
          <w:p>
            <w:r>
              <w:rPr>
                <w:sz w:val="20"/>
              </w:rPr>
              <w:t>☐ 2     ☐ 1     ☐ 0</w:t>
            </w:r>
          </w:p>
        </w:tc>
        <w:tc>
          <w:tcPr>
            <w:tcW w:type="dxa" w:w="2484"/>
          </w:tcPr>
          <w:p>
            <w:r>
              <w:rPr>
                <w:sz w:val="20"/>
              </w:rPr>
            </w:r>
          </w:p>
        </w:tc>
        <w:tc>
          <w:tcPr>
            <w:tcW w:type="dxa" w:w="2484"/>
          </w:tcPr>
          <w:p>
            <w:r>
              <w:rPr>
                <w:sz w:val="20"/>
              </w:rPr>
            </w:r>
          </w:p>
        </w:tc>
      </w:tr>
      <w:tr>
        <w:tc>
          <w:tcPr>
            <w:tcW w:type="dxa" w:w="2484"/>
          </w:tcPr>
          <w:p>
            <w:r>
              <w:rPr>
                <w:sz w:val="20"/>
              </w:rPr>
              <w:t>8. Respects your working hours and timezone in early messages — no 3 a.m. demands presented as normal.</w:t>
            </w:r>
          </w:p>
        </w:tc>
        <w:tc>
          <w:tcPr>
            <w:tcW w:type="dxa" w:w="2484"/>
          </w:tcPr>
          <w:p>
            <w:r>
              <w:rPr>
                <w:sz w:val="20"/>
              </w:rPr>
              <w:t>☐ 2     ☐ 1     ☐ 0</w:t>
            </w:r>
          </w:p>
        </w:tc>
        <w:tc>
          <w:tcPr>
            <w:tcW w:type="dxa" w:w="2484"/>
          </w:tcPr>
          <w:p>
            <w:r>
              <w:rPr>
                <w:sz w:val="20"/>
              </w:rPr>
            </w:r>
          </w:p>
        </w:tc>
        <w:tc>
          <w:tcPr>
            <w:tcW w:type="dxa" w:w="2484"/>
          </w:tcPr>
          <w:p>
            <w:r>
              <w:rPr>
                <w:sz w:val="20"/>
              </w:rPr>
            </w:r>
          </w:p>
        </w:tc>
      </w:tr>
      <w:tr>
        <w:tc>
          <w:tcPr>
            <w:tcW w:type="dxa" w:w="9936"/>
            <w:gridSpan w:val="4"/>
            <w:shd w:val="clear" w:color="auto" w:fill="E6F4F4"/>
          </w:tcPr>
          <w:p>
            <w:r>
              <w:rPr>
                <w:b/>
                <w:color w:val="0A2540"/>
              </w:rPr>
              <w:t>C. Scope and realism — is the job itself sane?</w:t>
            </w:r>
          </w:p>
        </w:tc>
      </w:tr>
      <w:tr>
        <w:tc>
          <w:tcPr>
            <w:tcW w:type="dxa" w:w="2484"/>
          </w:tcPr>
          <w:p>
            <w:r>
              <w:rPr>
                <w:sz w:val="20"/>
              </w:rPr>
              <w:t>9. Deliverables are defined: what exactly you will deliver, in what format, and by when.</w:t>
            </w:r>
          </w:p>
        </w:tc>
        <w:tc>
          <w:tcPr>
            <w:tcW w:type="dxa" w:w="2484"/>
          </w:tcPr>
          <w:p>
            <w:r>
              <w:rPr>
                <w:sz w:val="20"/>
              </w:rPr>
              <w:t>☐ 2     ☐ 1     ☐ 0</w:t>
            </w:r>
          </w:p>
        </w:tc>
        <w:tc>
          <w:tcPr>
            <w:tcW w:type="dxa" w:w="2484"/>
          </w:tcPr>
          <w:p>
            <w:r>
              <w:rPr>
                <w:sz w:val="20"/>
              </w:rPr>
            </w:r>
          </w:p>
        </w:tc>
        <w:tc>
          <w:tcPr>
            <w:tcW w:type="dxa" w:w="2484"/>
          </w:tcPr>
          <w:p>
            <w:r>
              <w:rPr>
                <w:sz w:val="20"/>
              </w:rPr>
            </w:r>
          </w:p>
        </w:tc>
      </w:tr>
      <w:tr>
        <w:tc>
          <w:tcPr>
            <w:tcW w:type="dxa" w:w="2484"/>
          </w:tcPr>
          <w:p>
            <w:r>
              <w:rPr>
                <w:sz w:val="20"/>
              </w:rPr>
              <w:t>10. Deadline is realistic for the work asked — no “full website by tomorrow” unless the scope genuinely fits.</w:t>
            </w:r>
          </w:p>
        </w:tc>
        <w:tc>
          <w:tcPr>
            <w:tcW w:type="dxa" w:w="2484"/>
          </w:tcPr>
          <w:p>
            <w:r>
              <w:rPr>
                <w:sz w:val="20"/>
              </w:rPr>
              <w:t>☐ 2     ☐ 1     ☐ 0</w:t>
            </w:r>
          </w:p>
        </w:tc>
        <w:tc>
          <w:tcPr>
            <w:tcW w:type="dxa" w:w="2484"/>
          </w:tcPr>
          <w:p>
            <w:r>
              <w:rPr>
                <w:sz w:val="20"/>
              </w:rPr>
            </w:r>
          </w:p>
        </w:tc>
        <w:tc>
          <w:tcPr>
            <w:tcW w:type="dxa" w:w="2484"/>
          </w:tcPr>
          <w:p>
            <w:r>
              <w:rPr>
                <w:sz w:val="20"/>
              </w:rPr>
            </w:r>
          </w:p>
        </w:tc>
      </w:tr>
      <w:tr>
        <w:tc>
          <w:tcPr>
            <w:tcW w:type="dxa" w:w="2484"/>
          </w:tcPr>
          <w:p>
            <w:r>
              <w:rPr>
                <w:sz w:val="20"/>
              </w:rPr>
              <w:t>11. Revisions and scope changes are agreed: how many revision rounds are included, and what counts as extra, paid work.</w:t>
            </w:r>
          </w:p>
        </w:tc>
        <w:tc>
          <w:tcPr>
            <w:tcW w:type="dxa" w:w="2484"/>
          </w:tcPr>
          <w:p>
            <w:r>
              <w:rPr>
                <w:sz w:val="20"/>
              </w:rPr>
              <w:t>☐ 2     ☐ 1     ☐ 0</w:t>
            </w:r>
          </w:p>
        </w:tc>
        <w:tc>
          <w:tcPr>
            <w:tcW w:type="dxa" w:w="2484"/>
          </w:tcPr>
          <w:p>
            <w:r>
              <w:rPr>
                <w:sz w:val="20"/>
              </w:rPr>
            </w:r>
          </w:p>
        </w:tc>
        <w:tc>
          <w:tcPr>
            <w:tcW w:type="dxa" w:w="2484"/>
          </w:tcPr>
          <w:p>
            <w:r>
              <w:rPr>
                <w:sz w:val="20"/>
              </w:rPr>
            </w:r>
          </w:p>
        </w:tc>
      </w:tr>
      <w:tr>
        <w:tc>
          <w:tcPr>
            <w:tcW w:type="dxa" w:w="2484"/>
          </w:tcPr>
          <w:p>
            <w:r>
              <w:rPr>
                <w:sz w:val="20"/>
              </w:rPr>
              <w:t>12. Budget matches the scope: the fee fits the hours, skill and urgency — not a large brief on a tiny budget.</w:t>
            </w:r>
          </w:p>
        </w:tc>
        <w:tc>
          <w:tcPr>
            <w:tcW w:type="dxa" w:w="2484"/>
          </w:tcPr>
          <w:p>
            <w:r>
              <w:rPr>
                <w:sz w:val="20"/>
              </w:rPr>
              <w:t>☐ 2     ☐ 1     ☐ 0</w:t>
            </w:r>
          </w:p>
        </w:tc>
        <w:tc>
          <w:tcPr>
            <w:tcW w:type="dxa" w:w="2484"/>
          </w:tcPr>
          <w:p>
            <w:r>
              <w:rPr>
                <w:sz w:val="20"/>
              </w:rPr>
            </w:r>
          </w:p>
        </w:tc>
        <w:tc>
          <w:tcPr>
            <w:tcW w:type="dxa" w:w="2484"/>
          </w:tcPr>
          <w:p>
            <w:r>
              <w:rPr>
                <w:sz w:val="20"/>
              </w:rPr>
            </w:r>
          </w:p>
        </w:tc>
      </w:tr>
      <w:tr>
        <w:tc>
          <w:tcPr>
            <w:tcW w:type="dxa" w:w="9936"/>
            <w:gridSpan w:val="4"/>
            <w:shd w:val="clear" w:color="auto" w:fill="E6F4F4"/>
          </w:tcPr>
          <w:p>
            <w:r>
              <w:rPr>
                <w:b/>
                <w:color w:val="0A2540"/>
              </w:rPr>
              <w:t>D. Contract and payment willingness — will they commit?</w:t>
            </w:r>
          </w:p>
        </w:tc>
      </w:tr>
      <w:tr>
        <w:tc>
          <w:tcPr>
            <w:tcW w:type="dxa" w:w="2484"/>
          </w:tcPr>
          <w:p>
            <w:r>
              <w:rPr>
                <w:sz w:val="20"/>
              </w:rPr>
              <w:t>13. Willing to agree terms in writing: a simple contract, proposal or written agreement before work starts.</w:t>
            </w:r>
          </w:p>
        </w:tc>
        <w:tc>
          <w:tcPr>
            <w:tcW w:type="dxa" w:w="2484"/>
          </w:tcPr>
          <w:p>
            <w:r>
              <w:rPr>
                <w:sz w:val="20"/>
              </w:rPr>
              <w:t>☐ 2     ☐ 1     ☐ 0</w:t>
            </w:r>
          </w:p>
        </w:tc>
        <w:tc>
          <w:tcPr>
            <w:tcW w:type="dxa" w:w="2484"/>
          </w:tcPr>
          <w:p>
            <w:r>
              <w:rPr>
                <w:sz w:val="20"/>
              </w:rPr>
            </w:r>
          </w:p>
        </w:tc>
        <w:tc>
          <w:tcPr>
            <w:tcW w:type="dxa" w:w="2484"/>
          </w:tcPr>
          <w:p>
            <w:r>
              <w:rPr>
                <w:sz w:val="20"/>
              </w:rPr>
            </w:r>
          </w:p>
        </w:tc>
      </w:tr>
      <w:tr>
        <w:tc>
          <w:tcPr>
            <w:tcW w:type="dxa" w:w="2484"/>
          </w:tcPr>
          <w:p>
            <w:r>
              <w:rPr>
                <w:sz w:val="20"/>
              </w:rPr>
              <w:t>14. Willing to pay an upfront deposit (commonly 30–50%) before you start, with the balance on agreed milestones.</w:t>
            </w:r>
          </w:p>
        </w:tc>
        <w:tc>
          <w:tcPr>
            <w:tcW w:type="dxa" w:w="2484"/>
          </w:tcPr>
          <w:p>
            <w:r>
              <w:rPr>
                <w:sz w:val="20"/>
              </w:rPr>
              <w:t>☐ 2     ☐ 1     ☐ 0</w:t>
            </w:r>
          </w:p>
        </w:tc>
        <w:tc>
          <w:tcPr>
            <w:tcW w:type="dxa" w:w="2484"/>
          </w:tcPr>
          <w:p>
            <w:r>
              <w:rPr>
                <w:sz w:val="20"/>
              </w:rPr>
            </w:r>
          </w:p>
        </w:tc>
        <w:tc>
          <w:tcPr>
            <w:tcW w:type="dxa" w:w="2484"/>
          </w:tcPr>
          <w:p>
            <w:r>
              <w:rPr>
                <w:sz w:val="20"/>
              </w:rPr>
            </w:r>
          </w:p>
        </w:tc>
      </w:tr>
      <w:tr>
        <w:tc>
          <w:tcPr>
            <w:tcW w:type="dxa" w:w="2484"/>
          </w:tcPr>
          <w:p>
            <w:r>
              <w:rPr>
                <w:sz w:val="20"/>
              </w:rPr>
              <w:t>15. Payment method you can actually receive in Pakistan (bank, Payoneer, Wise or similar) — confirmed, not assumed.</w:t>
            </w:r>
          </w:p>
        </w:tc>
        <w:tc>
          <w:tcPr>
            <w:tcW w:type="dxa" w:w="2484"/>
          </w:tcPr>
          <w:p>
            <w:r>
              <w:rPr>
                <w:sz w:val="20"/>
              </w:rPr>
              <w:t>☐ 2     ☐ 1     ☐ 0</w:t>
            </w:r>
          </w:p>
        </w:tc>
        <w:tc>
          <w:tcPr>
            <w:tcW w:type="dxa" w:w="2484"/>
          </w:tcPr>
          <w:p>
            <w:r>
              <w:rPr>
                <w:sz w:val="20"/>
              </w:rPr>
            </w:r>
          </w:p>
        </w:tc>
        <w:tc>
          <w:tcPr>
            <w:tcW w:type="dxa" w:w="2484"/>
          </w:tcPr>
          <w:p>
            <w:r>
              <w:rPr>
                <w:sz w:val="20"/>
              </w:rPr>
            </w:r>
          </w:p>
        </w:tc>
      </w:tr>
      <w:tr>
        <w:tc>
          <w:tcPr>
            <w:tcW w:type="dxa" w:w="2484"/>
          </w:tcPr>
          <w:p>
            <w:r>
              <w:rPr>
                <w:sz w:val="20"/>
              </w:rPr>
              <w:t>16. Milestone payments for larger jobs, so you are never doing a whole project on a single end-payment promise.</w:t>
            </w:r>
          </w:p>
        </w:tc>
        <w:tc>
          <w:tcPr>
            <w:tcW w:type="dxa" w:w="2484"/>
          </w:tcPr>
          <w:p>
            <w:r>
              <w:rPr>
                <w:sz w:val="20"/>
              </w:rPr>
              <w:t>☐ 2     ☐ 1     ☐ 0</w:t>
            </w:r>
          </w:p>
        </w:tc>
        <w:tc>
          <w:tcPr>
            <w:tcW w:type="dxa" w:w="2484"/>
          </w:tcPr>
          <w:p>
            <w:r>
              <w:rPr>
                <w:sz w:val="20"/>
              </w:rPr>
            </w:r>
          </w:p>
        </w:tc>
        <w:tc>
          <w:tcPr>
            <w:tcW w:type="dxa" w:w="2484"/>
          </w:tcPr>
          <w:p>
            <w:r>
              <w:rPr>
                <w:sz w:val="20"/>
              </w:rPr>
            </w:r>
          </w:p>
        </w:tc>
      </w:tr>
      <w:tr>
        <w:tc>
          <w:tcPr>
            <w:tcW w:type="dxa" w:w="9936"/>
            <w:gridSpan w:val="4"/>
            <w:shd w:val="clear" w:color="auto" w:fill="E6F4F4"/>
          </w:tcPr>
          <w:p>
            <w:r>
              <w:rPr>
                <w:b/>
                <w:color w:val="0A2540"/>
              </w:rPr>
              <w:t>E. Professionalism and risk — anything that smells wrong?</w:t>
            </w:r>
          </w:p>
        </w:tc>
      </w:tr>
      <w:tr>
        <w:tc>
          <w:tcPr>
            <w:tcW w:type="dxa" w:w="2484"/>
          </w:tcPr>
          <w:p>
            <w:r>
              <w:rPr>
                <w:sz w:val="20"/>
              </w:rPr>
              <w:t>17. No demand for full, usable work for free disguised as a “test”, “sample” or “trial”.</w:t>
            </w:r>
          </w:p>
        </w:tc>
        <w:tc>
          <w:tcPr>
            <w:tcW w:type="dxa" w:w="2484"/>
          </w:tcPr>
          <w:p>
            <w:r>
              <w:rPr>
                <w:sz w:val="20"/>
              </w:rPr>
              <w:t>☐ 2     ☐ 1     ☐ 0</w:t>
            </w:r>
          </w:p>
        </w:tc>
        <w:tc>
          <w:tcPr>
            <w:tcW w:type="dxa" w:w="2484"/>
          </w:tcPr>
          <w:p>
            <w:r>
              <w:rPr>
                <w:sz w:val="20"/>
              </w:rPr>
            </w:r>
          </w:p>
        </w:tc>
        <w:tc>
          <w:tcPr>
            <w:tcW w:type="dxa" w:w="2484"/>
          </w:tcPr>
          <w:p>
            <w:r>
              <w:rPr>
                <w:sz w:val="20"/>
              </w:rPr>
            </w:r>
          </w:p>
        </w:tc>
      </w:tr>
      <w:tr>
        <w:tc>
          <w:tcPr>
            <w:tcW w:type="dxa" w:w="2484"/>
          </w:tcPr>
          <w:p>
            <w:r>
              <w:rPr>
                <w:sz w:val="20"/>
              </w:rPr>
              <w:t>18. No request for your passwords, login codes, bank access or personal accounts at any stage.</w:t>
            </w:r>
          </w:p>
        </w:tc>
        <w:tc>
          <w:tcPr>
            <w:tcW w:type="dxa" w:w="2484"/>
          </w:tcPr>
          <w:p>
            <w:r>
              <w:rPr>
                <w:sz w:val="20"/>
              </w:rPr>
              <w:t>☐ 2     ☐ 1     ☐ 0</w:t>
            </w:r>
          </w:p>
        </w:tc>
        <w:tc>
          <w:tcPr>
            <w:tcW w:type="dxa" w:w="2484"/>
          </w:tcPr>
          <w:p>
            <w:r>
              <w:rPr>
                <w:sz w:val="20"/>
              </w:rPr>
            </w:r>
          </w:p>
        </w:tc>
        <w:tc>
          <w:tcPr>
            <w:tcW w:type="dxa" w:w="2484"/>
          </w:tcPr>
          <w:p>
            <w:r>
              <w:rPr>
                <w:sz w:val="20"/>
              </w:rPr>
            </w:r>
          </w:p>
        </w:tc>
      </w:tr>
      <w:tr>
        <w:tc>
          <w:tcPr>
            <w:tcW w:type="dxa" w:w="2484"/>
          </w:tcPr>
          <w:p>
            <w:r>
              <w:rPr>
                <w:sz w:val="20"/>
              </w:rPr>
              <w:t>19. Materials are theirs to give: images, text, logos or data they ask you to use are owned or licensed by them.</w:t>
            </w:r>
          </w:p>
        </w:tc>
        <w:tc>
          <w:tcPr>
            <w:tcW w:type="dxa" w:w="2484"/>
          </w:tcPr>
          <w:p>
            <w:r>
              <w:rPr>
                <w:sz w:val="20"/>
              </w:rPr>
              <w:t>☐ 2     ☐ 1     ☐ 0</w:t>
            </w:r>
          </w:p>
        </w:tc>
        <w:tc>
          <w:tcPr>
            <w:tcW w:type="dxa" w:w="2484"/>
          </w:tcPr>
          <w:p>
            <w:r>
              <w:rPr>
                <w:sz w:val="20"/>
              </w:rPr>
            </w:r>
          </w:p>
        </w:tc>
        <w:tc>
          <w:tcPr>
            <w:tcW w:type="dxa" w:w="2484"/>
          </w:tcPr>
          <w:p>
            <w:r>
              <w:rPr>
                <w:sz w:val="20"/>
              </w:rPr>
            </w:r>
          </w:p>
        </w:tc>
      </w:tr>
      <w:tr>
        <w:tc>
          <w:tcPr>
            <w:tcW w:type="dxa" w:w="2484"/>
          </w:tcPr>
          <w:p>
            <w:r>
              <w:rPr>
                <w:sz w:val="20"/>
              </w:rPr>
              <w:t>20. No urgency tricks: no “start now, paperwork later”, no secrecy pressure, no guilt about “wasting their time” if you ask normal questions.</w:t>
            </w:r>
          </w:p>
        </w:tc>
        <w:tc>
          <w:tcPr>
            <w:tcW w:type="dxa" w:w="2484"/>
          </w:tcPr>
          <w:p>
            <w:r>
              <w:rPr>
                <w:sz w:val="20"/>
              </w:rPr>
              <w:t>☐ 2     ☐ 1     ☐ 0</w:t>
            </w:r>
          </w:p>
        </w:tc>
        <w:tc>
          <w:tcPr>
            <w:tcW w:type="dxa" w:w="2484"/>
          </w:tcPr>
          <w:p>
            <w:r>
              <w:rPr>
                <w:sz w:val="20"/>
              </w:rPr>
            </w:r>
          </w:p>
        </w:tc>
        <w:tc>
          <w:tcPr>
            <w:tcW w:type="dxa" w:w="2484"/>
          </w:tcPr>
          <w:p>
            <w:r>
              <w:rPr>
                <w:sz w:val="20"/>
              </w:rPr>
            </w:r>
          </w:p>
        </w:tc>
      </w:tr>
      <w:tr>
        <w:tc>
          <w:tcPr>
            <w:tcW w:type="dxa" w:w="2484"/>
            <w:shd w:val="clear" w:color="auto" w:fill="FFF3CD"/>
          </w:tcPr>
          <w:p>
            <w:r>
              <w:rPr>
                <w:b/>
              </w:rPr>
              <w:t>TOTAL  (maximum 40)</w:t>
            </w:r>
          </w:p>
        </w:tc>
        <w:tc>
          <w:tcPr>
            <w:tcW w:type="dxa" w:w="2484"/>
            <w:shd w:val="clear" w:color="auto" w:fill="FFF3CD"/>
          </w:tcPr>
          <w:p/>
        </w:tc>
        <w:tc>
          <w:tcPr>
            <w:tcW w:type="dxa" w:w="2484"/>
            <w:shd w:val="clear" w:color="auto" w:fill="FFF3CD"/>
          </w:tcPr>
          <w:p>
            <w:r>
              <w:rPr>
                <w:b/>
              </w:rPr>
              <w:t>_____ / 40</w:t>
            </w:r>
          </w:p>
        </w:tc>
        <w:tc>
          <w:tcPr>
            <w:tcW w:type="dxa" w:w="2484"/>
            <w:shd w:val="clear" w:color="auto" w:fill="FFF3CD"/>
          </w:tcPr>
          <w:p/>
        </w:tc>
      </w:tr>
    </w:tbl>
    <w:p>
      <w:pPr>
        <w:pStyle w:val="Heading2"/>
      </w:pPr>
      <w:r>
        <w:rPr>
          <w:color w:val="0E7C7C"/>
        </w:rPr>
        <w:t>Scoring guide — what your total means</w:t>
      </w:r>
    </w:p>
    <w:tbl>
      <w:tblPr>
        <w:tblStyle w:val="TableGrid"/>
        <w:tblW w:type="auto" w:w="0"/>
        <w:tblLook w:firstColumn="1" w:firstRow="1" w:lastColumn="0" w:lastRow="0" w:noHBand="0" w:noVBand="1" w:val="04A0"/>
      </w:tblPr>
      <w:tblGrid>
        <w:gridCol w:w="3312"/>
        <w:gridCol w:w="3312"/>
        <w:gridCol w:w="3312"/>
      </w:tblGrid>
      <w:tr>
        <w:tc>
          <w:tcPr>
            <w:tcW w:type="dxa" w:w="3312"/>
            <w:shd w:val="clear" w:color="auto" w:fill="0A2540"/>
          </w:tcPr>
          <w:p>
            <w:r>
              <w:rPr>
                <w:b/>
                <w:color w:val="FFFFFF"/>
              </w:rPr>
              <w:t>Total</w:t>
            </w:r>
          </w:p>
        </w:tc>
        <w:tc>
          <w:tcPr>
            <w:tcW w:type="dxa" w:w="3312"/>
            <w:shd w:val="clear" w:color="auto" w:fill="0A2540"/>
          </w:tcPr>
          <w:p>
            <w:r>
              <w:rPr>
                <w:b/>
                <w:color w:val="FFFFFF"/>
              </w:rPr>
              <w:t>Band</w:t>
            </w:r>
          </w:p>
        </w:tc>
        <w:tc>
          <w:tcPr>
            <w:tcW w:type="dxa" w:w="3312"/>
            <w:shd w:val="clear" w:color="auto" w:fill="0A2540"/>
          </w:tcPr>
          <w:p>
            <w:r>
              <w:rPr>
                <w:b/>
                <w:color w:val="FFFFFF"/>
              </w:rPr>
              <w:t>What to do</w:t>
            </w:r>
          </w:p>
        </w:tc>
      </w:tr>
      <w:tr>
        <w:tc>
          <w:tcPr>
            <w:tcW w:type="dxa" w:w="3312"/>
          </w:tcPr>
          <w:p>
            <w:r>
              <w:rPr>
                <w:sz w:val="20"/>
              </w:rPr>
              <w:t>32 – 40</w:t>
            </w:r>
          </w:p>
        </w:tc>
        <w:tc>
          <w:tcPr>
            <w:tcW w:type="dxa" w:w="3312"/>
          </w:tcPr>
          <w:p>
            <w:r>
              <w:rPr>
                <w:sz w:val="20"/>
              </w:rPr>
              <w:t>GREEN — Proceed</w:t>
            </w:r>
          </w:p>
        </w:tc>
        <w:tc>
          <w:tcPr>
            <w:tcW w:type="dxa" w:w="3312"/>
          </w:tcPr>
          <w:p>
            <w:r>
              <w:rPr>
                <w:sz w:val="20"/>
              </w:rPr>
              <w:t>Still use a written agreement and an upfront deposit. Green means the client checked out, not that you can skip the paperwork.</w:t>
            </w:r>
          </w:p>
        </w:tc>
      </w:tr>
      <w:tr>
        <w:tc>
          <w:tcPr>
            <w:tcW w:type="dxa" w:w="3312"/>
          </w:tcPr>
          <w:p>
            <w:r>
              <w:rPr>
                <w:sz w:val="20"/>
              </w:rPr>
              <w:t>20 – 31</w:t>
            </w:r>
          </w:p>
        </w:tc>
        <w:tc>
          <w:tcPr>
            <w:tcW w:type="dxa" w:w="3312"/>
          </w:tcPr>
          <w:p>
            <w:r>
              <w:rPr>
                <w:sz w:val="20"/>
              </w:rPr>
              <w:t>AMBER — Proceed only with protection</w:t>
            </w:r>
          </w:p>
        </w:tc>
        <w:tc>
          <w:tcPr>
            <w:tcW w:type="dxa" w:w="3312"/>
          </w:tcPr>
          <w:p>
            <w:r>
              <w:rPr>
                <w:sz w:val="20"/>
              </w:rPr>
              <w:t>Written scope + deposit + milestone payments are non-negotiable. For a new client, offer a small paid test first instead of the full job.</w:t>
            </w:r>
          </w:p>
        </w:tc>
      </w:tr>
      <w:tr>
        <w:tc>
          <w:tcPr>
            <w:tcW w:type="dxa" w:w="3312"/>
          </w:tcPr>
          <w:p>
            <w:r>
              <w:rPr>
                <w:sz w:val="20"/>
              </w:rPr>
              <w:t>0 – 19</w:t>
            </w:r>
          </w:p>
        </w:tc>
        <w:tc>
          <w:tcPr>
            <w:tcW w:type="dxa" w:w="3312"/>
          </w:tcPr>
          <w:p>
            <w:r>
              <w:rPr>
                <w:sz w:val="20"/>
              </w:rPr>
              <w:t>RED — Decline or paid test only</w:t>
            </w:r>
          </w:p>
        </w:tc>
        <w:tc>
          <w:tcPr>
            <w:tcW w:type="dxa" w:w="3312"/>
          </w:tcPr>
          <w:p>
            <w:r>
              <w:rPr>
                <w:sz w:val="20"/>
              </w:rPr>
              <w:t>Decline politely (template T4), or offer one small, clearly priced paid test with no free usable deliverable. Do not start the full job.</w:t>
            </w:r>
          </w:p>
        </w:tc>
      </w:tr>
    </w:tbl>
    <w:p>
      <w:pPr>
        <w:spacing w:after="120"/>
      </w:pPr>
      <w:r>
        <w:rPr>
          <w:b/>
          <w:sz w:val="22"/>
        </w:rPr>
        <w:t>Remember the hard-stop rule above: a “No” on checks 13 or 14 caps you at AMBER, and a “No” on checks 17 or 18 is RED regardless of the total.</w:t>
      </w:r>
    </w:p>
    <w:p>
      <w:pPr>
        <w:pStyle w:val="Heading1"/>
      </w:pPr>
      <w:r>
        <w:rPr>
          <w:color w:val="0A2540"/>
        </w:rPr>
        <w:t>Part 2 — Five classic red-flag scripts</w:t>
      </w:r>
    </w:p>
    <w:p>
      <w:pPr>
        <w:spacing w:after="120"/>
      </w:pPr>
      <w:r>
        <w:rPr>
          <w:b w:val="0"/>
          <w:color w:val="5A6B78"/>
          <w:sz w:val="20"/>
        </w:rPr>
        <w:t>These are the five patterns freelancers meet most often. Each one gives you what the client typically says, why it is risky, what to check, and a safe reply you can copy, adapt and send.</w:t>
      </w:r>
    </w:p>
    <w:p>
      <w:pPr>
        <w:pStyle w:val="Heading2"/>
      </w:pPr>
      <w:r>
        <w:rPr>
          <w:color w:val="0E7C7C"/>
        </w:rPr>
        <w:t>Red flag 1 — “Pay after delivery, and I’ll bring you lots of work” (exposure payment)</w:t>
      </w:r>
    </w:p>
    <w:p>
      <w:pPr>
        <w:spacing w:after="120"/>
      </w:pPr>
      <w:r>
        <w:rPr>
          <w:b w:val="0"/>
          <w:sz w:val="22"/>
        </w:rPr>
        <w:t>What they say: “Do this first one cheap / free and I have 20 more projects for you. You’ll earn later.”</w:t>
      </w:r>
    </w:p>
    <w:p>
      <w:pPr>
        <w:pStyle w:val="ListBullet"/>
      </w:pPr>
      <w:r>
        <w:t>Why it is risky: The future work almost never arrives, and even if it does, it arrives at the same cheap rate. You have done real, usable work for a promise.</w:t>
      </w:r>
    </w:p>
    <w:p>
      <w:pPr>
        <w:pStyle w:val="ListBullet"/>
      </w:pPr>
      <w:r>
        <w:t>What to check: Ask for one past freelancer they paid, and for the first job to be paid normally. A real pipeline survives that question; a story does not.</w:t>
      </w:r>
    </w:p>
    <w:p>
      <w:pPr>
        <w:spacing w:after="120"/>
      </w:pPr>
      <w:r>
        <w:rPr>
          <w:b/>
          <w:color w:val="0E7C7C"/>
          <w:sz w:val="22"/>
        </w:rPr>
        <w:t>Safe reply (copy and adapt):</w:t>
      </w:r>
    </w:p>
    <w:p>
      <w:pPr>
        <w:spacing w:after="120"/>
      </w:pPr>
      <w:r>
        <w:rPr>
          <w:b w:val="0"/>
          <w:sz w:val="22"/>
        </w:rPr>
        <w:t>“Thanks for thinking of me for ongoing work. I’m happy to discuss a retainer after a first paid project. For this job my fee is [amount], with [deposit %] upfront — shall I send the agreement?”</w:t>
      </w:r>
    </w:p>
    <w:p>
      <w:pPr>
        <w:pStyle w:val="Heading2"/>
      </w:pPr>
      <w:r>
        <w:rPr>
          <w:color w:val="0E7C7C"/>
        </w:rPr>
        <w:t>Red flag 2 — Vague scope plus an impossible rush</w:t>
      </w:r>
    </w:p>
    <w:p>
      <w:pPr>
        <w:spacing w:after="120"/>
      </w:pPr>
      <w:r>
        <w:rPr>
          <w:b w:val="0"/>
          <w:sz w:val="22"/>
        </w:rPr>
        <w:t>What they say: “Just make it amazing, I need it by tomorrow, I’ll explain later.”</w:t>
      </w:r>
    </w:p>
    <w:p>
      <w:pPr>
        <w:pStyle w:val="ListBullet"/>
      </w:pPr>
      <w:r>
        <w:t>Why it is risky: With no defined deliverable and no time, you cannot succeed: anything you deliver can be called “not what I wanted”, and the rush is then used to demand endless free revisions.</w:t>
      </w:r>
    </w:p>
    <w:p>
      <w:pPr>
        <w:pStyle w:val="ListBullet"/>
      </w:pPr>
      <w:r>
        <w:t>What to check: Pin the job down before you start: deliverables, format, deadline and revision count, all in writing. If they will not pin it down, the job is not ready to accept.</w:t>
      </w:r>
    </w:p>
    <w:p>
      <w:pPr>
        <w:spacing w:after="120"/>
      </w:pPr>
      <w:r>
        <w:rPr>
          <w:b/>
          <w:color w:val="0E7C7C"/>
          <w:sz w:val="22"/>
        </w:rPr>
        <w:t>Safe reply (copy and adapt):</w:t>
      </w:r>
    </w:p>
    <w:p>
      <w:pPr>
        <w:spacing w:after="120"/>
      </w:pPr>
      <w:r>
        <w:rPr>
          <w:b w:val="0"/>
          <w:sz w:val="22"/>
        </w:rPr>
        <w:t>“I’d love to help. So I can hit your deadline, could you confirm in writing: [deliverables], [format], and [revision rounds]? Once that’s agreed I’ll confirm the fee and start.”</w:t>
      </w:r>
    </w:p>
    <w:p>
      <w:pPr>
        <w:pStyle w:val="Heading2"/>
      </w:pPr>
      <w:r>
        <w:rPr>
          <w:color w:val="0E7C7C"/>
        </w:rPr>
        <w:t>Red flag 3 — Refuses any contract or deposit (“just trust me”)</w:t>
      </w:r>
    </w:p>
    <w:p>
      <w:pPr>
        <w:spacing w:after="120"/>
      </w:pPr>
      <w:r>
        <w:rPr>
          <w:b w:val="0"/>
          <w:sz w:val="22"/>
        </w:rPr>
        <w:t>What they say: “No need for paperwork, I always pay at the end. Don’t you trust me?”</w:t>
      </w:r>
    </w:p>
    <w:p>
      <w:pPr>
        <w:pStyle w:val="ListBullet"/>
      </w:pPr>
      <w:r>
        <w:t>Why it is risky: Without written terms or a deposit you have no agreed scope, no payment trigger and little to show if payment never comes. Trust is built by fair terms, not by skipping them.</w:t>
      </w:r>
    </w:p>
    <w:p>
      <w:pPr>
        <w:pStyle w:val="ListBullet"/>
      </w:pPr>
      <w:r>
        <w:t>What to check: Offer the lightest fair version: a one-page written agreement and a modest deposit. A genuine client accepts; a client who refuses both is telling you how payment will go.</w:t>
      </w:r>
    </w:p>
    <w:p>
      <w:pPr>
        <w:spacing w:after="120"/>
      </w:pPr>
      <w:r>
        <w:rPr>
          <w:b/>
          <w:color w:val="0E7C7C"/>
          <w:sz w:val="22"/>
        </w:rPr>
        <w:t>Safe reply (copy and adapt):</w:t>
      </w:r>
    </w:p>
    <w:p>
      <w:pPr>
        <w:spacing w:after="120"/>
      </w:pPr>
      <w:r>
        <w:rPr>
          <w:b w:val="0"/>
          <w:sz w:val="22"/>
        </w:rPr>
        <w:t>“I work with a short written agreement and a [deposit %] deposit on every project — it protects us both and keeps the scope clear. Happy to use your template if it covers scope, fee and payment dates.”</w:t>
      </w:r>
    </w:p>
    <w:p>
      <w:pPr>
        <w:pStyle w:val="Heading2"/>
      </w:pPr>
      <w:r>
        <w:rPr>
          <w:color w:val="0E7C7C"/>
        </w:rPr>
        <w:t>Red flag 4 — Free full work disguised as a test or sample</w:t>
      </w:r>
    </w:p>
    <w:p>
      <w:pPr>
        <w:spacing w:after="120"/>
      </w:pPr>
      <w:r>
        <w:rPr>
          <w:b w:val="0"/>
          <w:sz w:val="22"/>
        </w:rPr>
        <w:t>What they say: “Just do this one real task as a test so I can see your quality, then I’ll hire you.”</w:t>
      </w:r>
    </w:p>
    <w:p>
      <w:pPr>
        <w:pStyle w:val="ListBullet"/>
      </w:pPr>
      <w:r>
        <w:t>Why it is risky: A “test” that is the client’s actual deliverable is unpaid work, and it is often sent to several freelancers at once. Your sample becomes their product.</w:t>
      </w:r>
    </w:p>
    <w:p>
      <w:pPr>
        <w:pStyle w:val="ListBullet"/>
      </w:pPr>
      <w:r>
        <w:t>What to check: Offer a paid test instead: small, capped in time, priced, with clear usage terms. Or point to your portfolio, which is what a portfolio is for.</w:t>
      </w:r>
    </w:p>
    <w:p>
      <w:pPr>
        <w:spacing w:after="120"/>
      </w:pPr>
      <w:r>
        <w:rPr>
          <w:b/>
          <w:color w:val="0E7C7C"/>
          <w:sz w:val="22"/>
        </w:rPr>
        <w:t>Safe reply (copy and adapt):</w:t>
      </w:r>
    </w:p>
    <w:p>
      <w:pPr>
        <w:spacing w:after="120"/>
      </w:pPr>
      <w:r>
        <w:rPr>
          <w:b w:val="0"/>
          <w:sz w:val="22"/>
        </w:rPr>
        <w:t>“My portfolio at [link] shows this kind of work. I’m happy to do a paid test — [small scope], [fee], delivered by [date], for your internal review only. If you’d like to go ahead, I’ll send the agreement.”</w:t>
      </w:r>
    </w:p>
    <w:p>
      <w:pPr>
        <w:pStyle w:val="Heading2"/>
      </w:pPr>
      <w:r>
        <w:rPr>
          <w:color w:val="0E7C7C"/>
        </w:rPr>
        <w:t>Red flag 5 — Dodgy payment or a client who is not who they claim</w:t>
      </w:r>
    </w:p>
    <w:p>
      <w:pPr>
        <w:spacing w:after="120"/>
      </w:pPr>
      <w:r>
        <w:rPr>
          <w:b w:val="0"/>
          <w:sz w:val="22"/>
        </w:rPr>
        <w:t>What they say: “Pay by gift card / crypto / a friend’s account”, or a big-brand name with a free email address, plus “keep this between us, don’t tell the platform.”</w:t>
      </w:r>
    </w:p>
    <w:p>
      <w:pPr>
        <w:pStyle w:val="ListBullet"/>
      </w:pPr>
      <w:r>
        <w:t>Why it is risky: Untraceable or third-party payments are hard to prove, easy to reverse or fake, and can drag you into someone else’s fraud. Secrecy pressure is there to stop you checking.</w:t>
      </w:r>
    </w:p>
    <w:p>
      <w:pPr>
        <w:pStyle w:val="ListBullet"/>
      </w:pPr>
      <w:r>
        <w:t>What to check: Verify independently: contact the company through its public website or official channel — never through details the “client” supplied. Never accept gift cards, crypto or personal-account payments for freelance work, and never share codes or passwords.</w:t>
      </w:r>
    </w:p>
    <w:p>
      <w:pPr>
        <w:spacing w:after="120"/>
      </w:pPr>
      <w:r>
        <w:rPr>
          <w:b/>
          <w:color w:val="0E7C7C"/>
          <w:sz w:val="22"/>
        </w:rPr>
        <w:t>Safe reply (copy and adapt):</w:t>
      </w:r>
    </w:p>
    <w:p>
      <w:pPr>
        <w:spacing w:after="120"/>
      </w:pPr>
      <w:r>
        <w:rPr>
          <w:b w:val="0"/>
          <w:sz w:val="22"/>
        </w:rPr>
        <w:t>“I’m only able to accept payment by [bank / Payoneer / Wise] to my business account, with a written agreement. If that works for you, I’ll send the details — otherwise I’ll have to pass on this one.”</w:t>
      </w:r>
    </w:p>
    <w:p>
      <w:pPr>
        <w:pStyle w:val="Heading1"/>
      </w:pPr>
      <w:r>
        <w:rPr>
          <w:color w:val="0A2540"/>
        </w:rPr>
        <w:t>Part 3 — Safe reply templates</w:t>
      </w:r>
    </w:p>
    <w:p>
      <w:pPr>
        <w:spacing w:after="120"/>
      </w:pPr>
      <w:r>
        <w:rPr>
          <w:b w:val="0"/>
          <w:color w:val="5A6B78"/>
          <w:sz w:val="20"/>
        </w:rPr>
        <w:t>Fill in the [brackets] and send. Keep every agreement in writing — even a confirmed message thread counts as a record, though a signed agreement is better.</w:t>
      </w:r>
    </w:p>
    <w:p>
      <w:pPr>
        <w:pStyle w:val="Heading2"/>
      </w:pPr>
      <w:r>
        <w:rPr>
          <w:color w:val="0E7C7C"/>
        </w:rPr>
        <w:t>T1 — Ask for a contract and an upfront deposit</w:t>
      </w:r>
    </w:p>
    <w:p>
      <w:pPr>
        <w:spacing w:after="120"/>
      </w:pPr>
      <w:r>
        <w:rPr>
          <w:b w:val="0"/>
          <w:sz w:val="22"/>
        </w:rPr>
        <w:t>Hi [Name], thanks for the brief — [project] sounds like a good fit. Before I start, I work with a short written agreement covering scope, fee and payment dates, and a [30–50%] deposit to book the work, with the balance on [delivery / milestones]. If that works for you, I’ll send the agreement today and we can start on [date].</w:t>
      </w:r>
    </w:p>
    <w:p>
      <w:pPr>
        <w:pStyle w:val="Heading2"/>
      </w:pPr>
      <w:r>
        <w:rPr>
          <w:color w:val="0E7C7C"/>
        </w:rPr>
        <w:t>T2 — Paid test-task wording</w:t>
      </w:r>
    </w:p>
    <w:p>
      <w:pPr>
        <w:spacing w:after="120"/>
      </w:pPr>
      <w:r>
        <w:rPr>
          <w:b w:val="0"/>
          <w:sz w:val="22"/>
        </w:rPr>
        <w:t>Hi [Name], I’m happy to do a paid test so you can see how I work. I suggest: [small, specific task], delivered by [date], for [fee]. The test is for your internal review only and isn’t licensed for publication or commercial use unless we agree that separately. If the test goes well, we can agree the full project on the same terms. Shall I send the agreement?</w:t>
      </w:r>
    </w:p>
    <w:p>
      <w:pPr>
        <w:pStyle w:val="Heading2"/>
      </w:pPr>
      <w:r>
        <w:rPr>
          <w:color w:val="0E7C7C"/>
        </w:rPr>
        <w:t>T3 — Ask for verification (politely, without accusing)</w:t>
      </w:r>
    </w:p>
    <w:p>
      <w:pPr>
        <w:spacing w:after="120"/>
      </w:pPr>
      <w:r>
        <w:rPr>
          <w:b w:val="0"/>
          <w:sz w:val="22"/>
        </w:rPr>
        <w:t>Hi [Name], before we finalise, could you share a link to your company page or website and the best business email for the agreement? I ask every new client for this so the contract and invoice details are correct. Once I have that, I’ll send the agreement and deposit details.</w:t>
      </w:r>
    </w:p>
    <w:p>
      <w:pPr>
        <w:pStyle w:val="Heading2"/>
      </w:pPr>
      <w:r>
        <w:rPr>
          <w:color w:val="0E7C7C"/>
        </w:rPr>
        <w:t>T4 — Polite decline</w:t>
      </w:r>
    </w:p>
    <w:p>
      <w:pPr>
        <w:spacing w:after="120"/>
      </w:pPr>
      <w:r>
        <w:rPr>
          <w:b w:val="0"/>
          <w:sz w:val="22"/>
        </w:rPr>
        <w:t>Hi [Name], thanks for thinking of me. I’m not able to take this project on your proposed terms, so I’ll have to pass this time. I wish you well with it, and I’m happy to be considered for future work on a written agreement with an upfront deposit.</w:t>
      </w:r>
    </w:p>
    <w:p>
      <w:pPr>
        <w:pStyle w:val="Heading2"/>
      </w:pPr>
      <w:r>
        <w:rPr>
          <w:color w:val="0E7C7C"/>
        </w:rPr>
        <w:t>T5 — Milestones and scope changes</w:t>
      </w:r>
    </w:p>
    <w:p>
      <w:pPr>
        <w:spacing w:after="120"/>
      </w:pPr>
      <w:r>
        <w:rPr>
          <w:b w:val="0"/>
          <w:sz w:val="22"/>
        </w:rPr>
        <w:t>Hi [Name], to keep this fair on both sides, I suggest we split the project into milestones: [milestone 1 + fee], [milestone 2 + fee], with payment due on approval of each stage. Anything outside the agreed scope in the agreement — [list what is included] — I’ll quote separately before doing it, so there are no surprises.</w:t>
      </w:r>
    </w:p>
    <w:p>
      <w:pPr>
        <w:pStyle w:val="Heading1"/>
      </w:pPr>
      <w:r>
        <w:rPr>
          <w:color w:val="0A2540"/>
        </w:rPr>
        <w:t>Before you send anything — final checks</w:t>
      </w:r>
    </w:p>
    <w:p>
      <w:pPr>
        <w:pStyle w:val="ListBullet"/>
      </w:pPr>
      <w:r>
        <w:t>Is the agreement in writing, with scope, fee, deposit, milestones and revision count? If not, do not start.</w:t>
      </w:r>
    </w:p>
    <w:p>
      <w:pPr>
        <w:pStyle w:val="ListBullet"/>
      </w:pPr>
      <w:r>
        <w:t>Is the deposit actually received — not just promised — before substantive work begins?</w:t>
      </w:r>
    </w:p>
    <w:p>
      <w:pPr>
        <w:pStyle w:val="ListBullet"/>
      </w:pPr>
      <w:r>
        <w:t>Do you have the client’s verifiable business details saved with the project file?</w:t>
      </w:r>
    </w:p>
    <w:p>
      <w:pPr>
        <w:pStyle w:val="ListBullet"/>
      </w:pPr>
      <w:r>
        <w:t>Have you kept copies of every message that sets scope, price or deadlines?</w:t>
      </w:r>
    </w:p>
    <w:p>
      <w:pPr>
        <w:pStyle w:val="Heading1"/>
      </w:pPr>
      <w:r>
        <w:rPr>
          <w:color w:val="0A2540"/>
        </w:rPr>
        <w:t>How this checklist differs from the client intake form</w:t>
      </w:r>
    </w:p>
    <w:p>
      <w:pPr>
        <w:spacing w:after="120"/>
      </w:pPr>
      <w:r>
        <w:rPr>
          <w:b w:val="0"/>
          <w:sz w:val="22"/>
        </w:rPr>
        <w:t>This checklist is PRE-acceptance vetting: it answers “should I take this client at all?” and is used before you agree to the job. The Freelancer Kit’s client intake brief form is POST-acceptance intake: it collects the project brief, assets and details AFTER you have said yes. Use vetting first, intake second — intake questions never replace a vetting decision, and a completed intake form does not make an unvetted client safe.</w:t>
      </w:r>
    </w:p>
    <w:p>
      <w:pPr>
        <w:spacing w:after="120"/>
      </w:pPr>
      <w:r>
        <w:rPr>
          <w:b w:val="0"/>
          <w:sz w:val="22"/>
        </w:rPr>
        <w:t>Honest limits: this checklist is a judgement aid built from common freelance experience. It is not legal advice, not a background-check service, and passing it does not guarantee payment or good behaviour. For high-value work, use a proper written contract and, if needed, independent legal advice. If anything in this document is wrong or unclear, the safest version is: get it in writing, get a deposit, and keep records.</w:t>
      </w:r>
    </w:p>
    <w:p>
      <w:pPr>
        <w:spacing w:after="120"/>
      </w:pPr>
      <w:r>
        <w:rPr>
          <w:b w:val="0"/>
          <w:color w:val="5A6B78"/>
          <w:sz w:val="20"/>
        </w:rPr>
        <w:t>Original tool by The Freelancer Kit. Questions or corrections: tariqshahzad88@gmail.com</w:t>
      </w:r>
    </w:p>
    <w:sectPr w:rsidR="00FC693F" w:rsidRPr="0006063C" w:rsidSect="00034616">
      <w:footerReference w:type="default" r:id="rId9"/>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A6B78"/>
        <w:sz w:val="16"/>
      </w:rPr>
      <w:t>Client Vetting Checklist  •  The Freelancer Kit  •  Questions or corrections: tariqshahzad88@gmail.com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