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A2540"/>
        </w:rPr>
        <w:t>Free Pakistan Freelancer FBR Tax Return Preparation Pack</w:t>
      </w:r>
    </w:p>
    <w:p>
      <w:r>
        <w:rPr>
          <w:b/>
          <w:color w:val="8A0000"/>
          <w:sz w:val="20"/>
        </w:rPr>
        <w:t>GUIDANCE ONLY — This pack is general guidance for preparing your own records. It is not a tax filing, not tax advice, and it is not affiliated with, endorsed by, or issued by the Federal Board of Revenue (FBR), the Pakistan Software Export Board (PSEB), or any government body. Tax rules change: always confirm the current position on the official FBR and PSEB portals, or with a qualified tax professional, before you rely on anything here.</w:t>
      </w:r>
    </w:p>
    <w:p>
      <w:r>
        <w:rPr>
          <w:b w:val="0"/>
          <w:i/>
          <w:sz w:val="22"/>
        </w:rPr>
        <w:t>Prepared for next year and for restoring Active Taxpayer List (ATL) status — NOT for filing now. The Tax Year 2026 filing deadline of 31 October 2026 has just passed, so this pack is about getting organised early for the next filing season and, if you missed the deadline, about checking your status and preparing properly rather than rushing a late return.</w:t>
      </w:r>
    </w:p>
    <w:p>
      <w:r>
        <w:rPr>
          <w:b/>
          <w:i w:val="0"/>
          <w:sz w:val="22"/>
        </w:rPr>
        <w:t>WHAT THIS PACK IS — AND IS NOT</w:t>
      </w:r>
    </w:p>
    <w:p>
      <w:pPr>
        <w:pStyle w:val="ListBullet"/>
      </w:pPr>
      <w:r>
        <w:t>It IS a preparation pack: checklists, a records log, and step-by-step preparation guidance you can work through during the year.</w:t>
      </w:r>
    </w:p>
    <w:p>
      <w:pPr>
        <w:pStyle w:val="ListBullet"/>
      </w:pPr>
      <w:r>
        <w:t>It is NOT a tax return, NOT a filing service, and NOT tax advice. The actual return must be filed on FBR's own IRIS portal, using the prescribed return form for your taxpayer category — a spreadsheet or document of your own is not a filed return.</w:t>
      </w:r>
    </w:p>
    <w:p>
      <w:pPr>
        <w:pStyle w:val="ListBullet"/>
      </w:pPr>
      <w:r>
        <w:t>It is NOT affiliated with, endorsed by, or issued by FBR or PSEB. Where a rule, rate, or fee is stated, the source position is noted; where published figures disagree or could not be confirmed, the pack says so and tells you to check the official portal before relying on it.</w:t>
      </w:r>
    </w:p>
    <w:p>
      <w:pPr>
        <w:pStyle w:val="ListBullet"/>
      </w:pPr>
      <w:r>
        <w:t>This pack is 100% original material. It contains no promises about tax repayments, savings, or ATL outcomes.</w:t>
      </w:r>
    </w:p>
    <w:p>
      <w:pPr>
        <w:pStyle w:val="Heading1"/>
      </w:pPr>
      <w:r>
        <w:rPr>
          <w:color w:val="0A2540"/>
        </w:rPr>
        <w:t>1. IRIS Preparation Checklist</w:t>
      </w:r>
    </w:p>
    <w:p>
      <w:r>
        <w:rPr>
          <w:b/>
          <w:color w:val="8A0000"/>
          <w:sz w:val="20"/>
        </w:rPr>
        <w:t>GUIDANCE ONLY — This pack is general guidance for preparing your own records. It is not a tax filing, not tax advice, and it is not affiliated with, endorsed by, or issued by the Federal Board of Revenue (FBR), the Pakistan Software Export Board (PSEB), or any government body. Tax rules change: always confirm the current position on the official FBR and PSEB portals, or with a qualified tax professional, before you rely on anything here.</w:t>
      </w:r>
    </w:p>
    <w:p>
      <w:r>
        <w:rPr>
          <w:b w:val="0"/>
          <w:i w:val="0"/>
          <w:sz w:val="22"/>
        </w:rPr>
        <w:t>FBR's online portal is called IRIS (Inland Revenue Information System). Work through this list before the next filing season opens, not in its last week:</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fill="0A2540"/>
          </w:tcPr>
          <w:p>
            <w:r/>
            <w:r>
              <w:rPr>
                <w:b/>
                <w:color w:val="FFFFFF"/>
                <w:sz w:val="20"/>
              </w:rPr>
              <w:t>#</w:t>
            </w:r>
          </w:p>
        </w:tc>
        <w:tc>
          <w:tcPr>
            <w:tcW w:type="dxa" w:w="2880"/>
            <w:shd w:val="clear" w:fill="0A2540"/>
          </w:tcPr>
          <w:p>
            <w:r/>
            <w:r>
              <w:rPr>
                <w:b/>
                <w:color w:val="FFFFFF"/>
                <w:sz w:val="20"/>
              </w:rPr>
              <w:t>Preparation step</w:t>
            </w:r>
          </w:p>
        </w:tc>
        <w:tc>
          <w:tcPr>
            <w:tcW w:type="dxa" w:w="2880"/>
            <w:shd w:val="clear" w:fill="0A2540"/>
          </w:tcPr>
          <w:p>
            <w:r/>
            <w:r>
              <w:rPr>
                <w:b/>
                <w:color w:val="FFFFFF"/>
                <w:sz w:val="20"/>
              </w:rPr>
              <w:t>Done?</w:t>
            </w:r>
          </w:p>
        </w:tc>
      </w:tr>
      <w:tr>
        <w:tc>
          <w:tcPr>
            <w:tcW w:type="dxa" w:w="2880"/>
          </w:tcPr>
          <w:p>
            <w:r/>
            <w:r>
              <w:rPr>
                <w:sz w:val="20"/>
              </w:rPr>
              <w:t>1</w:t>
            </w:r>
          </w:p>
        </w:tc>
        <w:tc>
          <w:tcPr>
            <w:tcW w:type="dxa" w:w="2880"/>
          </w:tcPr>
          <w:p>
            <w:r/>
            <w:r>
              <w:rPr>
                <w:sz w:val="20"/>
              </w:rPr>
              <w:t>Confirm you have an NTN (National Tax Number). If you have never registered, registration on IRIS using your CNIC is the first step — do this well before filing season.</w:t>
            </w:r>
          </w:p>
        </w:tc>
        <w:tc>
          <w:tcPr>
            <w:tcW w:type="dxa" w:w="2880"/>
          </w:tcPr>
          <w:p>
            <w:r/>
            <w:r>
              <w:rPr>
                <w:sz w:val="20"/>
              </w:rPr>
            </w:r>
          </w:p>
        </w:tc>
      </w:tr>
      <w:tr>
        <w:tc>
          <w:tcPr>
            <w:tcW w:type="dxa" w:w="2880"/>
          </w:tcPr>
          <w:p>
            <w:r/>
            <w:r>
              <w:rPr>
                <w:sz w:val="20"/>
              </w:rPr>
              <w:t>2</w:t>
            </w:r>
          </w:p>
        </w:tc>
        <w:tc>
          <w:tcPr>
            <w:tcW w:type="dxa" w:w="2880"/>
          </w:tcPr>
          <w:p>
            <w:r/>
            <w:r>
              <w:rPr>
                <w:sz w:val="20"/>
              </w:rPr>
              <w:t>Confirm you can log in to IRIS: CNIC/NTN and password work, and your registered mobile/email for recovery are current.</w:t>
            </w:r>
          </w:p>
        </w:tc>
        <w:tc>
          <w:tcPr>
            <w:tcW w:type="dxa" w:w="2880"/>
          </w:tcPr>
          <w:p>
            <w:r/>
            <w:r>
              <w:rPr>
                <w:sz w:val="20"/>
              </w:rPr>
            </w:r>
          </w:p>
        </w:tc>
      </w:tr>
      <w:tr>
        <w:tc>
          <w:tcPr>
            <w:tcW w:type="dxa" w:w="2880"/>
          </w:tcPr>
          <w:p>
            <w:r/>
            <w:r>
              <w:rPr>
                <w:sz w:val="20"/>
              </w:rPr>
              <w:t>3</w:t>
            </w:r>
          </w:p>
        </w:tc>
        <w:tc>
          <w:tcPr>
            <w:tcW w:type="dxa" w:w="2880"/>
          </w:tcPr>
          <w:p>
            <w:r/>
            <w:r>
              <w:rPr>
                <w:sz w:val="20"/>
              </w:rPr>
              <w:t>If you have forgotten your password, use IRIS's own recovery route early. Do not share your IRIS password with anyone who offers to 'file for you' without verifying who they are.</w:t>
            </w:r>
          </w:p>
        </w:tc>
        <w:tc>
          <w:tcPr>
            <w:tcW w:type="dxa" w:w="2880"/>
          </w:tcPr>
          <w:p>
            <w:r/>
            <w:r>
              <w:rPr>
                <w:sz w:val="20"/>
              </w:rPr>
            </w:r>
          </w:p>
        </w:tc>
      </w:tr>
      <w:tr>
        <w:tc>
          <w:tcPr>
            <w:tcW w:type="dxa" w:w="2880"/>
          </w:tcPr>
          <w:p>
            <w:r/>
            <w:r>
              <w:rPr>
                <w:sz w:val="20"/>
              </w:rPr>
              <w:t>4</w:t>
            </w:r>
          </w:p>
        </w:tc>
        <w:tc>
          <w:tcPr>
            <w:tcW w:type="dxa" w:w="2880"/>
          </w:tcPr>
          <w:p>
            <w:r/>
            <w:r>
              <w:rPr>
                <w:sz w:val="20"/>
              </w:rPr>
              <w:t>Gather last year's filed return and wealth statement (if any) and save copies. They are your reference for this year's figures.</w:t>
            </w:r>
          </w:p>
        </w:tc>
        <w:tc>
          <w:tcPr>
            <w:tcW w:type="dxa" w:w="2880"/>
          </w:tcPr>
          <w:p>
            <w:r/>
            <w:r>
              <w:rPr>
                <w:sz w:val="20"/>
              </w:rPr>
            </w:r>
          </w:p>
        </w:tc>
      </w:tr>
      <w:tr>
        <w:tc>
          <w:tcPr>
            <w:tcW w:type="dxa" w:w="2880"/>
          </w:tcPr>
          <w:p>
            <w:r/>
            <w:r>
              <w:rPr>
                <w:sz w:val="20"/>
              </w:rPr>
              <w:t>5</w:t>
            </w:r>
          </w:p>
        </w:tc>
        <w:tc>
          <w:tcPr>
            <w:tcW w:type="dxa" w:w="2880"/>
          </w:tcPr>
          <w:p>
            <w:r/>
            <w:r>
              <w:rPr>
                <w:sz w:val="20"/>
              </w:rPr>
              <w:t>Check whether BOTH the return of income AND the wealth statement were submitted last time: on IRIS, a filed item sits in Completed Tasks, not in Draft. If either is still in Draft, it was not submitted.</w:t>
            </w:r>
          </w:p>
        </w:tc>
        <w:tc>
          <w:tcPr>
            <w:tcW w:type="dxa" w:w="2880"/>
          </w:tcPr>
          <w:p>
            <w:r/>
            <w:r>
              <w:rPr>
                <w:sz w:val="20"/>
              </w:rPr>
            </w:r>
          </w:p>
        </w:tc>
      </w:tr>
      <w:tr>
        <w:tc>
          <w:tcPr>
            <w:tcW w:type="dxa" w:w="2880"/>
          </w:tcPr>
          <w:p>
            <w:r/>
            <w:r>
              <w:rPr>
                <w:sz w:val="20"/>
              </w:rPr>
              <w:t>6</w:t>
            </w:r>
          </w:p>
        </w:tc>
        <w:tc>
          <w:tcPr>
            <w:tcW w:type="dxa" w:w="2880"/>
          </w:tcPr>
          <w:p>
            <w:r/>
            <w:r>
              <w:rPr>
                <w:sz w:val="20"/>
              </w:rPr>
              <w:t>Collect every withholding / tax-deduction certificate for the year (bank, platform, or client certificates) before you start entering figures.</w:t>
            </w:r>
          </w:p>
        </w:tc>
        <w:tc>
          <w:tcPr>
            <w:tcW w:type="dxa" w:w="2880"/>
          </w:tcPr>
          <w:p>
            <w:r/>
            <w:r>
              <w:rPr>
                <w:sz w:val="20"/>
              </w:rPr>
            </w:r>
          </w:p>
        </w:tc>
      </w:tr>
      <w:tr>
        <w:tc>
          <w:tcPr>
            <w:tcW w:type="dxa" w:w="2880"/>
          </w:tcPr>
          <w:p>
            <w:r/>
            <w:r>
              <w:rPr>
                <w:sz w:val="20"/>
              </w:rPr>
              <w:t>7</w:t>
            </w:r>
          </w:p>
        </w:tc>
        <w:tc>
          <w:tcPr>
            <w:tcW w:type="dxa" w:w="2880"/>
          </w:tcPr>
          <w:p>
            <w:r/>
            <w:r>
              <w:rPr>
                <w:sz w:val="20"/>
              </w:rPr>
              <w:t>Reconcile your income log (Section 2 and the Excel workbook) to your bank statements before filing season. Fix gaps monthly, not in the final week.</w:t>
            </w:r>
          </w:p>
        </w:tc>
        <w:tc>
          <w:tcPr>
            <w:tcW w:type="dxa" w:w="2880"/>
          </w:tcPr>
          <w:p>
            <w:r/>
            <w:r>
              <w:rPr>
                <w:sz w:val="20"/>
              </w:rPr>
            </w:r>
          </w:p>
        </w:tc>
      </w:tr>
      <w:tr>
        <w:tc>
          <w:tcPr>
            <w:tcW w:type="dxa" w:w="2880"/>
          </w:tcPr>
          <w:p>
            <w:r/>
            <w:r>
              <w:rPr>
                <w:sz w:val="20"/>
              </w:rPr>
              <w:t>8</w:t>
            </w:r>
          </w:p>
        </w:tc>
        <w:tc>
          <w:tcPr>
            <w:tcW w:type="dxa" w:w="2880"/>
          </w:tcPr>
          <w:p>
            <w:r/>
            <w:r>
              <w:rPr>
                <w:sz w:val="20"/>
              </w:rPr>
              <w:t>When filing season opens, use the prescribed return form for your category on IRIS. IRIS labels and screens change between years — match each figure by its description, not by a label remembered from last year.</w:t>
            </w:r>
          </w:p>
        </w:tc>
        <w:tc>
          <w:tcPr>
            <w:tcW w:type="dxa" w:w="2880"/>
          </w:tcPr>
          <w:p>
            <w:r/>
            <w:r>
              <w:rPr>
                <w:sz w:val="20"/>
              </w:rPr>
            </w:r>
          </w:p>
        </w:tc>
      </w:tr>
    </w:tbl>
    <w:p>
      <w:r>
        <w:rPr>
          <w:b w:val="0"/>
          <w:i w:val="0"/>
          <w:sz w:val="22"/>
        </w:rPr>
        <w:t>A note on deadlines: for individuals, the statutory filing date has historically been 30 September following the tax year. For Tax Year 2026, FBR extended that date first to 15 October 2026 and then to 31 October 2026 for the group of taxpayers covered by those extension notices. That date has now passed. Do not assume the same dates will apply next year — check the FBR notice for your category when the next season is announced, and treat any date in this pack as history, not as next year's deadline.</w:t>
      </w:r>
    </w:p>
    <w:p>
      <w:pPr>
        <w:pStyle w:val="Heading1"/>
      </w:pPr>
      <w:r>
        <w:rPr>
          <w:color w:val="0A2540"/>
        </w:rPr>
        <w:t>2. Income and Expense Log, Mapped to Return Sections</w:t>
      </w:r>
    </w:p>
    <w:p>
      <w:r>
        <w:rPr>
          <w:b/>
          <w:color w:val="8A0000"/>
          <w:sz w:val="20"/>
        </w:rPr>
        <w:t>GUIDANCE ONLY — This pack is general guidance for preparing your own records. It is not a tax filing, not tax advice, and it is not affiliated with, endorsed by, or issued by the Federal Board of Revenue (FBR), the Pakistan Software Export Board (PSEB), or any government body. Tax rules change: always confirm the current position on the official FBR and PSEB portals, or with a qualified tax professional, before you rely on anything here.</w:t>
      </w:r>
    </w:p>
    <w:p>
      <w:r>
        <w:rPr>
          <w:b w:val="0"/>
          <w:i w:val="0"/>
          <w:sz w:val="22"/>
        </w:rPr>
        <w:t>Use the Excel workbook's Income Log and Expense Log during the year. Each entry maps to a general area of the return as follows. This mapping is general guidance only: IRIS section names change, so match by description when you file, and if a category does not fit, ask a tax professional rather than forcing it into the wrong section.</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fill="0A2540"/>
          </w:tcPr>
          <w:p>
            <w:r/>
            <w:r>
              <w:rPr>
                <w:b/>
                <w:color w:val="FFFFFF"/>
                <w:sz w:val="20"/>
              </w:rPr>
              <w:t>Your log entry</w:t>
            </w:r>
          </w:p>
        </w:tc>
        <w:tc>
          <w:tcPr>
            <w:tcW w:type="dxa" w:w="2880"/>
            <w:shd w:val="clear" w:fill="0A2540"/>
          </w:tcPr>
          <w:p>
            <w:r/>
            <w:r>
              <w:rPr>
                <w:b/>
                <w:color w:val="FFFFFF"/>
                <w:sz w:val="20"/>
              </w:rPr>
              <w:t>General return area it relates to</w:t>
            </w:r>
          </w:p>
        </w:tc>
        <w:tc>
          <w:tcPr>
            <w:tcW w:type="dxa" w:w="2880"/>
            <w:shd w:val="clear" w:fill="0A2540"/>
          </w:tcPr>
          <w:p>
            <w:r/>
            <w:r>
              <w:rPr>
                <w:b/>
                <w:color w:val="FFFFFF"/>
                <w:sz w:val="20"/>
              </w:rPr>
              <w:t>Evidence to keep</w:t>
            </w:r>
          </w:p>
        </w:tc>
      </w:tr>
      <w:tr>
        <w:tc>
          <w:tcPr>
            <w:tcW w:type="dxa" w:w="2880"/>
          </w:tcPr>
          <w:p>
            <w:r/>
            <w:r>
              <w:rPr>
                <w:sz w:val="20"/>
              </w:rPr>
              <w:t>Foreign client income (IT / IT-enabled services)</w:t>
            </w:r>
          </w:p>
        </w:tc>
        <w:tc>
          <w:tcPr>
            <w:tcW w:type="dxa" w:w="2880"/>
          </w:tcPr>
          <w:p>
            <w:r/>
            <w:r>
              <w:rPr>
                <w:sz w:val="20"/>
              </w:rPr>
              <w:t>Foreign-source / export income section; tax deducted by the bank on realisation of export proceeds is shown separately from the income itself</w:t>
            </w:r>
          </w:p>
        </w:tc>
        <w:tc>
          <w:tcPr>
            <w:tcW w:type="dxa" w:w="2880"/>
          </w:tcPr>
          <w:p>
            <w:r/>
            <w:r>
              <w:rPr>
                <w:sz w:val="20"/>
              </w:rPr>
              <w:t>Platform statements, client invoices, bank credit advices, proceeds realisation certificates if your bank issues them</w:t>
            </w:r>
          </w:p>
        </w:tc>
      </w:tr>
      <w:tr>
        <w:tc>
          <w:tcPr>
            <w:tcW w:type="dxa" w:w="2880"/>
          </w:tcPr>
          <w:p>
            <w:r/>
            <w:r>
              <w:rPr>
                <w:sz w:val="20"/>
              </w:rPr>
              <w:t>Foreign client income (non-IT services)</w:t>
            </w:r>
          </w:p>
        </w:tc>
        <w:tc>
          <w:tcPr>
            <w:tcW w:type="dxa" w:w="2880"/>
          </w:tcPr>
          <w:p>
            <w:r/>
            <w:r>
              <w:rPr>
                <w:sz w:val="20"/>
              </w:rPr>
              <w:t>Foreign-source income section — confirm which treatment applies to your service type; do not assume IT-export treatment</w:t>
            </w:r>
          </w:p>
        </w:tc>
        <w:tc>
          <w:tcPr>
            <w:tcW w:type="dxa" w:w="2880"/>
          </w:tcPr>
          <w:p>
            <w:r/>
            <w:r>
              <w:rPr>
                <w:sz w:val="20"/>
              </w:rPr>
              <w:t>Same as above, plus a note of the service type</w:t>
            </w:r>
          </w:p>
        </w:tc>
      </w:tr>
      <w:tr>
        <w:tc>
          <w:tcPr>
            <w:tcW w:type="dxa" w:w="2880"/>
          </w:tcPr>
          <w:p>
            <w:r/>
            <w:r>
              <w:rPr>
                <w:sz w:val="20"/>
              </w:rPr>
              <w:t>Local client income (Pakistan)</w:t>
            </w:r>
          </w:p>
        </w:tc>
        <w:tc>
          <w:tcPr>
            <w:tcW w:type="dxa" w:w="2880"/>
          </w:tcPr>
          <w:p>
            <w:r/>
            <w:r>
              <w:rPr>
                <w:sz w:val="20"/>
              </w:rPr>
              <w:t>Local business / professional income section</w:t>
            </w:r>
          </w:p>
        </w:tc>
        <w:tc>
          <w:tcPr>
            <w:tcW w:type="dxa" w:w="2880"/>
          </w:tcPr>
          <w:p>
            <w:r/>
            <w:r>
              <w:rPr>
                <w:sz w:val="20"/>
              </w:rPr>
              <w:t>Invoices, receipts, bank credits</w:t>
            </w:r>
          </w:p>
        </w:tc>
      </w:tr>
      <w:tr>
        <w:tc>
          <w:tcPr>
            <w:tcW w:type="dxa" w:w="2880"/>
          </w:tcPr>
          <w:p>
            <w:r/>
            <w:r>
              <w:rPr>
                <w:sz w:val="20"/>
              </w:rPr>
              <w:t>Bank profit / interest</w:t>
            </w:r>
          </w:p>
        </w:tc>
        <w:tc>
          <w:tcPr>
            <w:tcW w:type="dxa" w:w="2880"/>
          </w:tcPr>
          <w:p>
            <w:r/>
            <w:r>
              <w:rPr>
                <w:sz w:val="20"/>
              </w:rPr>
              <w:t>Income from other sources / profit on debt area, as labelled on the current IRIS form</w:t>
            </w:r>
          </w:p>
        </w:tc>
        <w:tc>
          <w:tcPr>
            <w:tcW w:type="dxa" w:w="2880"/>
          </w:tcPr>
          <w:p>
            <w:r/>
            <w:r>
              <w:rPr>
                <w:sz w:val="20"/>
              </w:rPr>
              <w:t>Bank profit certificates / statements</w:t>
            </w:r>
          </w:p>
        </w:tc>
      </w:tr>
      <w:tr>
        <w:tc>
          <w:tcPr>
            <w:tcW w:type="dxa" w:w="2880"/>
          </w:tcPr>
          <w:p>
            <w:r/>
            <w:r>
              <w:rPr>
                <w:sz w:val="20"/>
              </w:rPr>
              <w:t>Tax already deducted at source (withholding certificates)</w:t>
            </w:r>
          </w:p>
        </w:tc>
        <w:tc>
          <w:tcPr>
            <w:tcW w:type="dxa" w:w="2880"/>
          </w:tcPr>
          <w:p>
            <w:r/>
            <w:r>
              <w:rPr>
                <w:sz w:val="20"/>
              </w:rPr>
              <w:t>Tax deducted / adjustable tax credits area — enter only amounts supported by a certificate or statement</w:t>
            </w:r>
          </w:p>
        </w:tc>
        <w:tc>
          <w:tcPr>
            <w:tcW w:type="dxa" w:w="2880"/>
          </w:tcPr>
          <w:p>
            <w:r/>
            <w:r>
              <w:rPr>
                <w:sz w:val="20"/>
              </w:rPr>
              <w:t>Withholding certificates, bank statements</w:t>
            </w:r>
          </w:p>
        </w:tc>
      </w:tr>
      <w:tr>
        <w:tc>
          <w:tcPr>
            <w:tcW w:type="dxa" w:w="2880"/>
          </w:tcPr>
          <w:p>
            <w:r/>
            <w:r>
              <w:rPr>
                <w:sz w:val="20"/>
              </w:rPr>
              <w:t>Business expenses (internet, software, equipment, subcontractors)</w:t>
            </w:r>
          </w:p>
        </w:tc>
        <w:tc>
          <w:tcPr>
            <w:tcW w:type="dxa" w:w="2880"/>
          </w:tcPr>
          <w:p>
            <w:r/>
            <w:r>
              <w:rPr>
                <w:sz w:val="20"/>
              </w:rPr>
              <w:t>Business expense / deduction area — only expenses you can evidence</w:t>
            </w:r>
          </w:p>
        </w:tc>
        <w:tc>
          <w:tcPr>
            <w:tcW w:type="dxa" w:w="2880"/>
          </w:tcPr>
          <w:p>
            <w:r/>
            <w:r>
              <w:rPr>
                <w:sz w:val="20"/>
              </w:rPr>
              <w:t>Receipts, invoices, payment proof</w:t>
            </w:r>
          </w:p>
        </w:tc>
      </w:tr>
      <w:tr>
        <w:tc>
          <w:tcPr>
            <w:tcW w:type="dxa" w:w="2880"/>
          </w:tcPr>
          <w:p>
            <w:r/>
            <w:r>
              <w:rPr>
                <w:sz w:val="20"/>
              </w:rPr>
              <w:t>Assets owned at year end (bank balances, property, vehicles)</w:t>
            </w:r>
          </w:p>
        </w:tc>
        <w:tc>
          <w:tcPr>
            <w:tcW w:type="dxa" w:w="2880"/>
          </w:tcPr>
          <w:p>
            <w:r/>
            <w:r>
              <w:rPr>
                <w:sz w:val="20"/>
              </w:rPr>
              <w:t>Wealth statement — list what the current form asks for, completely and honestly</w:t>
            </w:r>
          </w:p>
        </w:tc>
        <w:tc>
          <w:tcPr>
            <w:tcW w:type="dxa" w:w="2880"/>
          </w:tcPr>
          <w:p>
            <w:r/>
            <w:r>
              <w:rPr>
                <w:sz w:val="20"/>
              </w:rPr>
              <w:t>Statements, ownership documents</w:t>
            </w:r>
          </w:p>
        </w:tc>
      </w:tr>
    </w:tbl>
    <w:p>
      <w:r>
        <w:rPr>
          <w:b w:val="0"/>
          <w:i w:val="0"/>
          <w:sz w:val="22"/>
        </w:rPr>
        <w:t>The workbook's Summary sheet totals your income by type, totals expenses by category, and calculates net income from your own entries. Those totals are your preparation figures — they are not a filed return and they do not calculate your tax liability, because liability depends on the current law, slabs, and your full circumstances.</w:t>
      </w:r>
    </w:p>
    <w:p>
      <w:pPr>
        <w:pStyle w:val="Heading1"/>
      </w:pPr>
      <w:r>
        <w:rPr>
          <w:color w:val="0A2540"/>
        </w:rPr>
        <w:t>3. PSEB Registration Steps (for IT and IT-enabled service exporters)</w:t>
      </w:r>
    </w:p>
    <w:p>
      <w:r>
        <w:rPr>
          <w:b/>
          <w:color w:val="8A0000"/>
          <w:sz w:val="20"/>
        </w:rPr>
        <w:t>GUIDANCE ONLY — This pack is general guidance for preparing your own records. It is not a tax filing, not tax advice, and it is not affiliated with, endorsed by, or issued by the Federal Board of Revenue (FBR), the Pakistan Software Export Board (PSEB), or any government body. Tax rules change: always confirm the current position on the official FBR and PSEB portals, or with a qualified tax professional, before you rely on anything here.</w:t>
      </w:r>
    </w:p>
    <w:p>
      <w:pPr>
        <w:pStyle w:val="ListBullet"/>
      </w:pPr>
      <w:r>
        <w:t>Step 1 — Get your NTN first. PSEB registration builds on your FBR registration; without an NTN you cannot complete it.</w:t>
      </w:r>
    </w:p>
    <w:p>
      <w:pPr>
        <w:pStyle w:val="ListBullet"/>
      </w:pPr>
      <w:r>
        <w:t>Step 2 — Apply on the official PSEB portal (pseb.org.pk). Choose the freelancer category and complete your professional profile: your service area, portfolio or marketplace profiles, and contact details.</w:t>
      </w:r>
    </w:p>
    <w:p>
      <w:pPr>
        <w:pStyle w:val="ListBullet"/>
      </w:pPr>
      <w:r>
        <w:t>Step 3 — Upload what the portal asks for. Typically requested items include your CNIC, NTN details, and bank or profile evidence — but the portal's current list governs, so follow it rather than any list in this pack.</w:t>
      </w:r>
    </w:p>
    <w:p>
      <w:pPr>
        <w:pStyle w:val="ListBullet"/>
      </w:pPr>
      <w:r>
        <w:t>Step 4 — Pay the fee shown on the portal at the time you apply. Published figures for the freelancer fee differ between sources, so this pack deliberately does not state a fee: check the portal's current fee before you pay.</w:t>
      </w:r>
    </w:p>
    <w:p>
      <w:pPr>
        <w:pStyle w:val="ListBullet"/>
      </w:pPr>
      <w:r>
        <w:t>Step 5 — Wait for approval, then download and save your certificate/card from the portal and keep it with your tax records.</w:t>
      </w:r>
    </w:p>
    <w:p>
      <w:pPr>
        <w:pStyle w:val="ListBullet"/>
      </w:pPr>
      <w:r>
        <w:t>Step 6 — Keep your registration current: renew when the portal says it is due, and keep your profile details up to date.</w:t>
      </w:r>
    </w:p>
    <w:p>
      <w:r>
        <w:rPr>
          <w:b w:val="0"/>
          <w:i w:val="0"/>
          <w:sz w:val="22"/>
        </w:rPr>
        <w:t>Why freelancers consider PSEB registration: under section 154A of the Income Tax Ordinance, 2001, tax is deducted by the bank when foreign exchange proceeds of IT and IT-enabled service exports are realised, and multiple published guides report a lower withholding rate (0.25% of proceeds) for PSEB-registered exporters of software and IT services, compared with 1% otherwise. That rate and its conditions are a matter of current law, and reports differ on related conditions (for example, some guides still mention an 80%-through-banking-channels condition that other sources report as repealed). Confirm the current rate, eligibility, and conditions on the FBR and PSEB portals, or with a tax professional, before relying on either figure. Registration is not mandatory for exporting, and it does not by itself decide your final tax position.</w:t>
      </w:r>
    </w:p>
    <w:p>
      <w:pPr>
        <w:pStyle w:val="Heading1"/>
      </w:pPr>
      <w:r>
        <w:rPr>
          <w:color w:val="0A2540"/>
        </w:rPr>
        <w:t>4. ATL Status Checklist — and Restoring It</w:t>
      </w:r>
    </w:p>
    <w:p>
      <w:r>
        <w:rPr>
          <w:b/>
          <w:color w:val="8A0000"/>
          <w:sz w:val="20"/>
        </w:rPr>
        <w:t>GUIDANCE ONLY — This pack is general guidance for preparing your own records. It is not a tax filing, not tax advice, and it is not affiliated with, endorsed by, or issued by the Federal Board of Revenue (FBR), the Pakistan Software Export Board (PSEB), or any government body. Tax rules change: always confirm the current position on the official FBR and PSEB portals, or with a qualified tax professional, before you rely on anything here.</w:t>
      </w:r>
    </w:p>
    <w:p>
      <w:pPr>
        <w:pStyle w:val="ListBullet"/>
      </w:pPr>
      <w:r>
        <w:t>What ATL means: the Active Taxpayer List is FBR's list of taxpayers who filed a return for the relevant tax year. Being on it generally means lower withholding rates than for those not on it; the exact rates depend on the current withholding schedule.</w:t>
      </w:r>
    </w:p>
    <w:p>
      <w:pPr>
        <w:pStyle w:val="ListBullet"/>
      </w:pPr>
      <w:r>
        <w:t>How to check (no IRIS login needed): on the IRIS portal, open Verifications, choose 'Active Taxpayer List (Income Tax)', enter your CNIC (13 digits, no dashes) or NTN, complete the captcha, and verify. Alternatively, send your CNIC by SMS as the FBR verification service directs (widely reported as sending your CNIC to 9966 — confirm the current SMS format on the FBR portal if it does not work).</w:t>
      </w:r>
    </w:p>
    <w:p>
      <w:pPr>
        <w:pStyle w:val="ListBullet"/>
      </w:pPr>
      <w:r>
        <w:t>If you filed on time but are not showing: first confirm on IRIS that BOTH the return and the wealth statement are in Completed Tasks, not Draft. Then allow time for the list to update — published sources disagree on whether updates are daily or weekly, so wait several days and check again before assuming something is wrong.</w:t>
      </w:r>
    </w:p>
    <w:p>
      <w:pPr>
        <w:pStyle w:val="ListBullet"/>
      </w:pPr>
      <w:r>
        <w:t>If you missed the TY2026 deadline: do not panic and do not let anyone rush you into a careless filing. Prepare your records with this pack, then check the current FBR position on late filing and ATL restoration. Published guides report that a late filer may be restored to the ATL on payment of a surcharge, but the amount and procedure change — this pack deliberately does not state a surcharge figure. Confirm the current surcharge and procedure on the FBR portal or with a tax professional before paying anything.</w:t>
      </w:r>
    </w:p>
    <w:p>
      <w:pPr>
        <w:pStyle w:val="ListBullet"/>
      </w:pPr>
      <w:r>
        <w:t>Going forward: file by the due date in the next season. On-time filing is the straightforward route back onto, and onto staying on, the ATL.</w:t>
      </w:r>
    </w:p>
    <w:p>
      <w:pPr>
        <w:pStyle w:val="Heading1"/>
      </w:pPr>
      <w:r>
        <w:rPr>
          <w:color w:val="0A2540"/>
        </w:rPr>
        <w:t>5. Six-Year Document Checklist</w:t>
      </w:r>
    </w:p>
    <w:p>
      <w:r>
        <w:rPr>
          <w:b/>
          <w:color w:val="8A0000"/>
          <w:sz w:val="20"/>
        </w:rPr>
        <w:t>GUIDANCE ONLY — This pack is general guidance for preparing your own records. It is not a tax filing, not tax advice, and it is not affiliated with, endorsed by, or issued by the Federal Board of Revenue (FBR), the Pakistan Software Export Board (PSEB), or any government body. Tax rules change: always confirm the current position on the official FBR and PSEB portals, or with a qualified tax professional, before you rely on anything here.</w:t>
      </w:r>
    </w:p>
    <w:p>
      <w:r>
        <w:rPr>
          <w:b w:val="0"/>
          <w:i w:val="0"/>
          <w:sz w:val="22"/>
        </w:rPr>
        <w:t>Section 174 of the Income Tax Ordinance, 2001, requires taxpayers to maintain prescribed accounts, documents, and records, and to keep them for six years after the end of the tax year they relate to — longer if proceedings about that year are still pending, and without that time limit for certain categories (such as undisclosed income or unexplained assets). Keep the following for each tax year, in one folder per year, paper or digital:</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fill="0A2540"/>
          </w:tcPr>
          <w:p>
            <w:r/>
            <w:r>
              <w:rPr>
                <w:b/>
                <w:color w:val="FFFFFF"/>
                <w:sz w:val="20"/>
              </w:rPr>
              <w:t>Document</w:t>
            </w:r>
          </w:p>
        </w:tc>
        <w:tc>
          <w:tcPr>
            <w:tcW w:type="dxa" w:w="2880"/>
            <w:shd w:val="clear" w:fill="0A2540"/>
          </w:tcPr>
          <w:p>
            <w:r/>
            <w:r>
              <w:rPr>
                <w:b/>
                <w:color w:val="FFFFFF"/>
                <w:sz w:val="20"/>
              </w:rPr>
              <w:t>Keep for</w:t>
            </w:r>
          </w:p>
        </w:tc>
        <w:tc>
          <w:tcPr>
            <w:tcW w:type="dxa" w:w="2880"/>
            <w:shd w:val="clear" w:fill="0A2540"/>
          </w:tcPr>
          <w:p>
            <w:r/>
            <w:r>
              <w:rPr>
                <w:b/>
                <w:color w:val="FFFFFF"/>
                <w:sz w:val="20"/>
              </w:rPr>
              <w:t>Tick when filed</w:t>
            </w:r>
          </w:p>
        </w:tc>
      </w:tr>
      <w:tr>
        <w:tc>
          <w:tcPr>
            <w:tcW w:type="dxa" w:w="2880"/>
          </w:tcPr>
          <w:p>
            <w:r/>
            <w:r>
              <w:rPr>
                <w:sz w:val="20"/>
              </w:rPr>
              <w:t>CNIC copy and NTN certificate</w:t>
            </w:r>
          </w:p>
        </w:tc>
        <w:tc>
          <w:tcPr>
            <w:tcW w:type="dxa" w:w="2880"/>
          </w:tcPr>
          <w:p>
            <w:r/>
            <w:r>
              <w:rPr>
                <w:sz w:val="20"/>
              </w:rPr>
              <w:t>6 years after the tax year ends</w:t>
            </w:r>
          </w:p>
        </w:tc>
        <w:tc>
          <w:tcPr>
            <w:tcW w:type="dxa" w:w="2880"/>
          </w:tcPr>
          <w:p>
            <w:r/>
            <w:r>
              <w:rPr>
                <w:sz w:val="20"/>
              </w:rPr>
            </w:r>
          </w:p>
        </w:tc>
      </w:tr>
      <w:tr>
        <w:tc>
          <w:tcPr>
            <w:tcW w:type="dxa" w:w="2880"/>
          </w:tcPr>
          <w:p>
            <w:r/>
            <w:r>
              <w:rPr>
                <w:sz w:val="20"/>
              </w:rPr>
              <w:t>Filed return + wealth statement copies (from IRIS Completed Tasks)</w:t>
            </w:r>
          </w:p>
        </w:tc>
        <w:tc>
          <w:tcPr>
            <w:tcW w:type="dxa" w:w="2880"/>
          </w:tcPr>
          <w:p>
            <w:r/>
            <w:r>
              <w:rPr>
                <w:sz w:val="20"/>
              </w:rPr>
              <w:t>6 years after the tax year ends</w:t>
            </w:r>
          </w:p>
        </w:tc>
        <w:tc>
          <w:tcPr>
            <w:tcW w:type="dxa" w:w="2880"/>
          </w:tcPr>
          <w:p>
            <w:r/>
            <w:r>
              <w:rPr>
                <w:sz w:val="20"/>
              </w:rPr>
            </w:r>
          </w:p>
        </w:tc>
      </w:tr>
      <w:tr>
        <w:tc>
          <w:tcPr>
            <w:tcW w:type="dxa" w:w="2880"/>
          </w:tcPr>
          <w:p>
            <w:r/>
            <w:r>
              <w:rPr>
                <w:sz w:val="20"/>
              </w:rPr>
              <w:t>All client invoices issued</w:t>
            </w:r>
          </w:p>
        </w:tc>
        <w:tc>
          <w:tcPr>
            <w:tcW w:type="dxa" w:w="2880"/>
          </w:tcPr>
          <w:p>
            <w:r/>
            <w:r>
              <w:rPr>
                <w:sz w:val="20"/>
              </w:rPr>
              <w:t>6 years after the tax year ends</w:t>
            </w:r>
          </w:p>
        </w:tc>
        <w:tc>
          <w:tcPr>
            <w:tcW w:type="dxa" w:w="2880"/>
          </w:tcPr>
          <w:p>
            <w:r/>
            <w:r>
              <w:rPr>
                <w:sz w:val="20"/>
              </w:rPr>
            </w:r>
          </w:p>
        </w:tc>
      </w:tr>
      <w:tr>
        <w:tc>
          <w:tcPr>
            <w:tcW w:type="dxa" w:w="2880"/>
          </w:tcPr>
          <w:p>
            <w:r/>
            <w:r>
              <w:rPr>
                <w:sz w:val="20"/>
              </w:rPr>
              <w:t>Platform statements (Upwork, Fiverr, direct clients, Payoneer, Wise)</w:t>
            </w:r>
          </w:p>
        </w:tc>
        <w:tc>
          <w:tcPr>
            <w:tcW w:type="dxa" w:w="2880"/>
          </w:tcPr>
          <w:p>
            <w:r/>
            <w:r>
              <w:rPr>
                <w:sz w:val="20"/>
              </w:rPr>
              <w:t>6 years after the tax year ends</w:t>
            </w:r>
          </w:p>
        </w:tc>
        <w:tc>
          <w:tcPr>
            <w:tcW w:type="dxa" w:w="2880"/>
          </w:tcPr>
          <w:p>
            <w:r/>
            <w:r>
              <w:rPr>
                <w:sz w:val="20"/>
              </w:rPr>
            </w:r>
          </w:p>
        </w:tc>
      </w:tr>
      <w:tr>
        <w:tc>
          <w:tcPr>
            <w:tcW w:type="dxa" w:w="2880"/>
          </w:tcPr>
          <w:p>
            <w:r/>
            <w:r>
              <w:rPr>
                <w:sz w:val="20"/>
              </w:rPr>
              <w:t>Bank statements for every account used for freelance income</w:t>
            </w:r>
          </w:p>
        </w:tc>
        <w:tc>
          <w:tcPr>
            <w:tcW w:type="dxa" w:w="2880"/>
          </w:tcPr>
          <w:p>
            <w:r/>
            <w:r>
              <w:rPr>
                <w:sz w:val="20"/>
              </w:rPr>
              <w:t>6 years after the tax year ends</w:t>
            </w:r>
          </w:p>
        </w:tc>
        <w:tc>
          <w:tcPr>
            <w:tcW w:type="dxa" w:w="2880"/>
          </w:tcPr>
          <w:p>
            <w:r/>
            <w:r>
              <w:rPr>
                <w:sz w:val="20"/>
              </w:rPr>
            </w:r>
          </w:p>
        </w:tc>
      </w:tr>
      <w:tr>
        <w:tc>
          <w:tcPr>
            <w:tcW w:type="dxa" w:w="2880"/>
          </w:tcPr>
          <w:p>
            <w:r/>
            <w:r>
              <w:rPr>
                <w:sz w:val="20"/>
              </w:rPr>
              <w:t>Withholding / tax-deduction certificates</w:t>
            </w:r>
          </w:p>
        </w:tc>
        <w:tc>
          <w:tcPr>
            <w:tcW w:type="dxa" w:w="2880"/>
          </w:tcPr>
          <w:p>
            <w:r/>
            <w:r>
              <w:rPr>
                <w:sz w:val="20"/>
              </w:rPr>
              <w:t>6 years after the tax year ends</w:t>
            </w:r>
          </w:p>
        </w:tc>
        <w:tc>
          <w:tcPr>
            <w:tcW w:type="dxa" w:w="2880"/>
          </w:tcPr>
          <w:p>
            <w:r/>
            <w:r>
              <w:rPr>
                <w:sz w:val="20"/>
              </w:rPr>
            </w:r>
          </w:p>
        </w:tc>
      </w:tr>
      <w:tr>
        <w:tc>
          <w:tcPr>
            <w:tcW w:type="dxa" w:w="2880"/>
          </w:tcPr>
          <w:p>
            <w:r/>
            <w:r>
              <w:rPr>
                <w:sz w:val="20"/>
              </w:rPr>
              <w:t>Expense receipts and invoices (internet, software, equipment, rent, subcontractors)</w:t>
            </w:r>
          </w:p>
        </w:tc>
        <w:tc>
          <w:tcPr>
            <w:tcW w:type="dxa" w:w="2880"/>
          </w:tcPr>
          <w:p>
            <w:r/>
            <w:r>
              <w:rPr>
                <w:sz w:val="20"/>
              </w:rPr>
              <w:t>6 years after the tax year ends</w:t>
            </w:r>
          </w:p>
        </w:tc>
        <w:tc>
          <w:tcPr>
            <w:tcW w:type="dxa" w:w="2880"/>
          </w:tcPr>
          <w:p>
            <w:r/>
            <w:r>
              <w:rPr>
                <w:sz w:val="20"/>
              </w:rPr>
            </w:r>
          </w:p>
        </w:tc>
      </w:tr>
      <w:tr>
        <w:tc>
          <w:tcPr>
            <w:tcW w:type="dxa" w:w="2880"/>
          </w:tcPr>
          <w:p>
            <w:r/>
            <w:r>
              <w:rPr>
                <w:sz w:val="20"/>
              </w:rPr>
              <w:t>Contracts and agreements with clients</w:t>
            </w:r>
          </w:p>
        </w:tc>
        <w:tc>
          <w:tcPr>
            <w:tcW w:type="dxa" w:w="2880"/>
          </w:tcPr>
          <w:p>
            <w:r/>
            <w:r>
              <w:rPr>
                <w:sz w:val="20"/>
              </w:rPr>
              <w:t>6 years after the tax year ends</w:t>
            </w:r>
          </w:p>
        </w:tc>
        <w:tc>
          <w:tcPr>
            <w:tcW w:type="dxa" w:w="2880"/>
          </w:tcPr>
          <w:p>
            <w:r/>
            <w:r>
              <w:rPr>
                <w:sz w:val="20"/>
              </w:rPr>
            </w:r>
          </w:p>
        </w:tc>
      </w:tr>
      <w:tr>
        <w:tc>
          <w:tcPr>
            <w:tcW w:type="dxa" w:w="2880"/>
          </w:tcPr>
          <w:p>
            <w:r/>
            <w:r>
              <w:rPr>
                <w:sz w:val="20"/>
              </w:rPr>
              <w:t>PSEB certificate/card and renewal receipts (if registered)</w:t>
            </w:r>
          </w:p>
        </w:tc>
        <w:tc>
          <w:tcPr>
            <w:tcW w:type="dxa" w:w="2880"/>
          </w:tcPr>
          <w:p>
            <w:r/>
            <w:r>
              <w:rPr>
                <w:sz w:val="20"/>
              </w:rPr>
              <w:t>6 years after the tax year ends</w:t>
            </w:r>
          </w:p>
        </w:tc>
        <w:tc>
          <w:tcPr>
            <w:tcW w:type="dxa" w:w="2880"/>
          </w:tcPr>
          <w:p>
            <w:r/>
            <w:r>
              <w:rPr>
                <w:sz w:val="20"/>
              </w:rPr>
            </w:r>
          </w:p>
        </w:tc>
      </w:tr>
      <w:tr>
        <w:tc>
          <w:tcPr>
            <w:tcW w:type="dxa" w:w="2880"/>
          </w:tcPr>
          <w:p>
            <w:r/>
            <w:r>
              <w:rPr>
                <w:sz w:val="20"/>
              </w:rPr>
              <w:t>Proceeds realisation certificates, if issued by your bank</w:t>
            </w:r>
          </w:p>
        </w:tc>
        <w:tc>
          <w:tcPr>
            <w:tcW w:type="dxa" w:w="2880"/>
          </w:tcPr>
          <w:p>
            <w:r/>
            <w:r>
              <w:rPr>
                <w:sz w:val="20"/>
              </w:rPr>
              <w:t>6 years after the tax year ends</w:t>
            </w:r>
          </w:p>
        </w:tc>
        <w:tc>
          <w:tcPr>
            <w:tcW w:type="dxa" w:w="2880"/>
          </w:tcPr>
          <w:p>
            <w:r/>
            <w:r>
              <w:rPr>
                <w:sz w:val="20"/>
              </w:rPr>
            </w:r>
          </w:p>
        </w:tc>
      </w:tr>
      <w:tr>
        <w:tc>
          <w:tcPr>
            <w:tcW w:type="dxa" w:w="2880"/>
          </w:tcPr>
          <w:p>
            <w:r/>
            <w:r>
              <w:rPr>
                <w:sz w:val="20"/>
              </w:rPr>
              <w:t>Any FBR notice, reply, or correspondence about the year</w:t>
            </w:r>
          </w:p>
        </w:tc>
        <w:tc>
          <w:tcPr>
            <w:tcW w:type="dxa" w:w="2880"/>
          </w:tcPr>
          <w:p>
            <w:r/>
            <w:r>
              <w:rPr>
                <w:sz w:val="20"/>
              </w:rPr>
              <w:t>Until the matter is finally decided, even beyond 6 years</w:t>
            </w:r>
          </w:p>
        </w:tc>
        <w:tc>
          <w:tcPr>
            <w:tcW w:type="dxa" w:w="2880"/>
          </w:tcPr>
          <w:p>
            <w:r/>
            <w:r>
              <w:rPr>
                <w:sz w:val="20"/>
              </w:rPr>
            </w:r>
          </w:p>
        </w:tc>
      </w:tr>
    </w:tbl>
    <w:p>
      <w:pPr>
        <w:pStyle w:val="Heading1"/>
      </w:pPr>
      <w:r>
        <w:rPr>
          <w:color w:val="0A2540"/>
        </w:rPr>
        <w:t>6. Next-Year Preparation Calendar (monthly habits)</w:t>
      </w:r>
    </w:p>
    <w:tbl>
      <w:tblPr>
        <w:tblStyle w:val="TableGrid"/>
        <w:tblW w:type="auto" w:w="0"/>
        <w:jc w:val="center"/>
        <w:tblLook w:firstColumn="1" w:firstRow="1" w:lastColumn="0" w:lastRow="0" w:noHBand="0" w:noVBand="1" w:val="04A0"/>
      </w:tblPr>
      <w:tblGrid>
        <w:gridCol w:w="4320"/>
        <w:gridCol w:w="4320"/>
      </w:tblGrid>
      <w:tr>
        <w:tc>
          <w:tcPr>
            <w:tcW w:type="dxa" w:w="4320"/>
            <w:shd w:val="clear" w:fill="0A2540"/>
          </w:tcPr>
          <w:p>
            <w:r/>
            <w:r>
              <w:rPr>
                <w:b/>
                <w:color w:val="FFFFFF"/>
                <w:sz w:val="20"/>
              </w:rPr>
              <w:t>When</w:t>
            </w:r>
          </w:p>
        </w:tc>
        <w:tc>
          <w:tcPr>
            <w:tcW w:type="dxa" w:w="4320"/>
            <w:shd w:val="clear" w:fill="0A2540"/>
          </w:tcPr>
          <w:p>
            <w:r/>
            <w:r>
              <w:rPr>
                <w:b/>
                <w:color w:val="FFFFFF"/>
                <w:sz w:val="20"/>
              </w:rPr>
              <w:t>Habit</w:t>
            </w:r>
          </w:p>
        </w:tc>
      </w:tr>
      <w:tr>
        <w:tc>
          <w:tcPr>
            <w:tcW w:type="dxa" w:w="4320"/>
          </w:tcPr>
          <w:p>
            <w:r/>
            <w:r>
              <w:rPr>
                <w:sz w:val="20"/>
              </w:rPr>
              <w:t>Every month</w:t>
            </w:r>
          </w:p>
        </w:tc>
        <w:tc>
          <w:tcPr>
            <w:tcW w:type="dxa" w:w="4320"/>
          </w:tcPr>
          <w:p>
            <w:r/>
            <w:r>
              <w:rPr>
                <w:sz w:val="20"/>
              </w:rPr>
              <w:t>Log every receipt and expense in the workbook; file the receipt the same week.</w:t>
            </w:r>
          </w:p>
        </w:tc>
      </w:tr>
      <w:tr>
        <w:tc>
          <w:tcPr>
            <w:tcW w:type="dxa" w:w="4320"/>
          </w:tcPr>
          <w:p>
            <w:r/>
            <w:r>
              <w:rPr>
                <w:sz w:val="20"/>
              </w:rPr>
              <w:t>Every quarter</w:t>
            </w:r>
          </w:p>
        </w:tc>
        <w:tc>
          <w:tcPr>
            <w:tcW w:type="dxa" w:w="4320"/>
          </w:tcPr>
          <w:p>
            <w:r/>
            <w:r>
              <w:rPr>
                <w:sz w:val="20"/>
              </w:rPr>
              <w:t>Reconcile the log to bank statements; chase any missing withholding certificate.</w:t>
            </w:r>
          </w:p>
        </w:tc>
      </w:tr>
      <w:tr>
        <w:tc>
          <w:tcPr>
            <w:tcW w:type="dxa" w:w="4320"/>
          </w:tcPr>
          <w:p>
            <w:r/>
            <w:r>
              <w:rPr>
                <w:sz w:val="20"/>
              </w:rPr>
              <w:t>1 July (start of a new tax year)</w:t>
            </w:r>
          </w:p>
        </w:tc>
        <w:tc>
          <w:tcPr>
            <w:tcW w:type="dxa" w:w="4320"/>
          </w:tcPr>
          <w:p>
            <w:r/>
            <w:r>
              <w:rPr>
                <w:sz w:val="20"/>
              </w:rPr>
              <w:t>Open a new folder and a new workbook copy for the new tax year.</w:t>
            </w:r>
          </w:p>
        </w:tc>
      </w:tr>
      <w:tr>
        <w:tc>
          <w:tcPr>
            <w:tcW w:type="dxa" w:w="4320"/>
          </w:tcPr>
          <w:p>
            <w:r/>
            <w:r>
              <w:rPr>
                <w:sz w:val="20"/>
              </w:rPr>
              <w:t>When FBR announces the next season</w:t>
            </w:r>
          </w:p>
        </w:tc>
        <w:tc>
          <w:tcPr>
            <w:tcW w:type="dxa" w:w="4320"/>
          </w:tcPr>
          <w:p>
            <w:r/>
            <w:r>
              <w:rPr>
                <w:sz w:val="20"/>
              </w:rPr>
              <w:t>Note YOUR category's due date from the official notice; set a personal deadline two weeks earlier.</w:t>
            </w:r>
          </w:p>
        </w:tc>
      </w:tr>
      <w:tr>
        <w:tc>
          <w:tcPr>
            <w:tcW w:type="dxa" w:w="4320"/>
          </w:tcPr>
          <w:p>
            <w:r/>
            <w:r>
              <w:rPr>
                <w:sz w:val="20"/>
              </w:rPr>
              <w:t>Two weeks before your personal deadline</w:t>
            </w:r>
          </w:p>
        </w:tc>
        <w:tc>
          <w:tcPr>
            <w:tcW w:type="dxa" w:w="4320"/>
          </w:tcPr>
          <w:p>
            <w:r/>
            <w:r>
              <w:rPr>
                <w:sz w:val="20"/>
              </w:rPr>
              <w:t>Final reconciliation; confirm IRIS login works; prepare, do not rush.</w:t>
            </w:r>
          </w:p>
        </w:tc>
      </w:tr>
      <w:tr>
        <w:tc>
          <w:tcPr>
            <w:tcW w:type="dxa" w:w="4320"/>
          </w:tcPr>
          <w:p>
            <w:r/>
            <w:r>
              <w:rPr>
                <w:sz w:val="20"/>
              </w:rPr>
              <w:t>After filing</w:t>
            </w:r>
          </w:p>
        </w:tc>
        <w:tc>
          <w:tcPr>
            <w:tcW w:type="dxa" w:w="4320"/>
          </w:tcPr>
          <w:p>
            <w:r/>
            <w:r>
              <w:rPr>
                <w:sz w:val="20"/>
              </w:rPr>
              <w:t>Save the filed return and wealth statement from Completed Tasks; check ATL status after a few days; file the year's folder for six years.</w:t>
            </w:r>
          </w:p>
        </w:tc>
      </w:tr>
    </w:tbl>
    <w:p>
      <w:r>
        <w:rPr>
          <w:b w:val="0"/>
          <w:i/>
          <w:sz w:val="22"/>
        </w:rPr>
        <w:t>Sources checked for this pack (3 November 2026): FBR TY2026 extension reporting (30 September → 15 October → 31 October 2026); IRIS Completed Tasks vs Draft filing check; ATL verification routes; PSEB / section 154A rate reporting; section 174 six-year retention reporting. Where those sources disagreed — PSEB fee, ATL update frequency, late-filer surcharge amounts, and the banking-channel condition — this pack states the disagreement instead of picking a figure. Verify everything against the official FBR and PSEB portals before acting.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